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6E" w:rsidRDefault="00C1036E" w:rsidP="00C1036E">
      <w:pPr>
        <w:autoSpaceDE w:val="0"/>
        <w:autoSpaceDN w:val="0"/>
        <w:adjustRightInd w:val="0"/>
        <w:spacing w:line="264" w:lineRule="auto"/>
        <w:jc w:val="right"/>
        <w:rPr>
          <w:rFonts w:cs="Arial"/>
          <w:b/>
          <w:bCs/>
          <w:sz w:val="24"/>
          <w:szCs w:val="24"/>
        </w:rPr>
      </w:pPr>
      <w:bookmarkStart w:id="0" w:name="_GoBack"/>
      <w:bookmarkEnd w:id="0"/>
      <w:r>
        <w:rPr>
          <w:rFonts w:cs="Arial"/>
          <w:b/>
          <w:bCs/>
          <w:sz w:val="24"/>
          <w:szCs w:val="24"/>
        </w:rPr>
        <w:t xml:space="preserve">Příloha č. </w:t>
      </w:r>
      <w:r w:rsidR="00CE5588">
        <w:rPr>
          <w:rFonts w:cs="Arial"/>
          <w:b/>
          <w:bCs/>
          <w:sz w:val="24"/>
          <w:szCs w:val="24"/>
        </w:rPr>
        <w:t>5</w:t>
      </w:r>
      <w:r>
        <w:rPr>
          <w:rFonts w:cs="Arial"/>
          <w:b/>
          <w:bCs/>
          <w:sz w:val="24"/>
          <w:szCs w:val="24"/>
        </w:rPr>
        <w:t xml:space="preserve"> ZD</w:t>
      </w:r>
    </w:p>
    <w:p w:rsidR="00294B8B" w:rsidRPr="00441619" w:rsidRDefault="00294B8B" w:rsidP="00347063">
      <w:pPr>
        <w:autoSpaceDE w:val="0"/>
        <w:autoSpaceDN w:val="0"/>
        <w:adjustRightInd w:val="0"/>
        <w:spacing w:line="264" w:lineRule="auto"/>
        <w:jc w:val="center"/>
        <w:rPr>
          <w:rFonts w:cs="Arial"/>
          <w:b/>
          <w:bCs/>
          <w:sz w:val="24"/>
          <w:szCs w:val="24"/>
        </w:rPr>
      </w:pPr>
      <w:r w:rsidRPr="00441619">
        <w:rPr>
          <w:rFonts w:cs="Arial"/>
          <w:b/>
          <w:bCs/>
          <w:sz w:val="24"/>
          <w:szCs w:val="24"/>
        </w:rPr>
        <w:t>NÁVRH KUPNÍ SMLOUVY</w:t>
      </w:r>
    </w:p>
    <w:p w:rsidR="00294B8B" w:rsidRPr="00441619" w:rsidRDefault="00294B8B" w:rsidP="00347063">
      <w:pPr>
        <w:autoSpaceDE w:val="0"/>
        <w:autoSpaceDN w:val="0"/>
        <w:adjustRightInd w:val="0"/>
        <w:spacing w:before="240" w:line="264" w:lineRule="auto"/>
        <w:rPr>
          <w:rFonts w:cs="Arial"/>
        </w:rPr>
      </w:pPr>
      <w:r w:rsidRPr="00441619">
        <w:rPr>
          <w:rFonts w:cs="Arial"/>
        </w:rPr>
        <w:t>uzavřené podle právního řádu České republiky v</w:t>
      </w:r>
      <w:r w:rsidR="0039241C">
        <w:rPr>
          <w:rFonts w:cs="Arial"/>
        </w:rPr>
        <w:t xml:space="preserve"> souladu s ustanoveními § 409 a nás</w:t>
      </w:r>
      <w:r w:rsidR="00DD3E93">
        <w:rPr>
          <w:rFonts w:cs="Arial"/>
        </w:rPr>
        <w:t>ledujících</w:t>
      </w:r>
      <w:r w:rsidR="0039241C">
        <w:rPr>
          <w:rFonts w:cs="Arial"/>
        </w:rPr>
        <w:t xml:space="preserve"> </w:t>
      </w:r>
      <w:r w:rsidRPr="00441619">
        <w:rPr>
          <w:rFonts w:cs="Arial"/>
        </w:rPr>
        <w:t>zákona č.</w:t>
      </w:r>
      <w:r w:rsidR="000A2594">
        <w:rPr>
          <w:rFonts w:cs="Arial"/>
        </w:rPr>
        <w:t> </w:t>
      </w:r>
      <w:r w:rsidRPr="00441619">
        <w:rPr>
          <w:rFonts w:cs="Arial"/>
        </w:rPr>
        <w:t>513/1991 Sb., obchodního zákoníku, v platném znění.</w:t>
      </w:r>
    </w:p>
    <w:p w:rsidR="00441619" w:rsidRPr="00BD26FE" w:rsidRDefault="00441619" w:rsidP="00347063">
      <w:pPr>
        <w:spacing w:before="360" w:line="264" w:lineRule="auto"/>
        <w:ind w:left="357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Pr="00BD26FE">
        <w:rPr>
          <w:rFonts w:cs="Arial"/>
          <w:b/>
        </w:rPr>
        <w:t>SMLUVNÍ STRANY</w:t>
      </w:r>
    </w:p>
    <w:p w:rsidR="00441619" w:rsidRDefault="00441619" w:rsidP="00347063">
      <w:pPr>
        <w:spacing w:before="120" w:line="264" w:lineRule="auto"/>
        <w:rPr>
          <w:rFonts w:cs="Arial"/>
          <w:b/>
        </w:rPr>
      </w:pPr>
      <w:r>
        <w:rPr>
          <w:rFonts w:cs="Arial"/>
          <w:b/>
        </w:rPr>
        <w:t>Kupující</w:t>
      </w:r>
      <w:r w:rsidRPr="00793743">
        <w:rPr>
          <w:rFonts w:cs="Arial"/>
          <w:b/>
        </w:rPr>
        <w:t xml:space="preserve">: </w:t>
      </w:r>
    </w:p>
    <w:p w:rsidR="00CE5588" w:rsidRPr="00CE5588" w:rsidRDefault="00CE5588" w:rsidP="00CE5588">
      <w:pPr>
        <w:rPr>
          <w:rFonts w:cs="Arial"/>
        </w:rPr>
      </w:pPr>
      <w:r w:rsidRPr="00CE5588">
        <w:rPr>
          <w:rFonts w:cs="Arial"/>
        </w:rPr>
        <w:t>Gymnázium, Plzeň, Mikulášské nám. 23</w:t>
      </w:r>
    </w:p>
    <w:p w:rsidR="00CE5588" w:rsidRDefault="00CE5588" w:rsidP="00CE5588">
      <w:pPr>
        <w:rPr>
          <w:rFonts w:cs="Arial"/>
        </w:rPr>
      </w:pPr>
      <w:r w:rsidRPr="00CE5588">
        <w:rPr>
          <w:rFonts w:cs="Arial"/>
        </w:rPr>
        <w:t>se sídlem Mikulášské nám. 23, 326 00 Plzeň</w:t>
      </w:r>
    </w:p>
    <w:p w:rsidR="00CE5588" w:rsidRDefault="00CE5588" w:rsidP="00CE5588">
      <w:pPr>
        <w:rPr>
          <w:rFonts w:cs="Arial"/>
        </w:rPr>
      </w:pPr>
      <w:r>
        <w:rPr>
          <w:rFonts w:cs="Arial"/>
        </w:rPr>
        <w:t>I</w:t>
      </w:r>
      <w:r w:rsidRPr="00CE5588">
        <w:rPr>
          <w:rFonts w:cs="Arial"/>
        </w:rPr>
        <w:t>Č:</w:t>
      </w:r>
      <w:r>
        <w:rPr>
          <w:rFonts w:cs="Arial"/>
        </w:rPr>
        <w:t xml:space="preserve"> </w:t>
      </w:r>
      <w:r w:rsidRPr="00CE5588">
        <w:rPr>
          <w:rFonts w:cs="Arial"/>
        </w:rPr>
        <w:t>497 78</w:t>
      </w:r>
      <w:r>
        <w:rPr>
          <w:rFonts w:cs="Arial"/>
        </w:rPr>
        <w:t> </w:t>
      </w:r>
      <w:r w:rsidRPr="00CE5588">
        <w:rPr>
          <w:rFonts w:cs="Arial"/>
        </w:rPr>
        <w:t>145</w:t>
      </w:r>
    </w:p>
    <w:p w:rsidR="00CE5588" w:rsidRPr="00CE5588" w:rsidRDefault="00CE5588" w:rsidP="00CE5588">
      <w:pPr>
        <w:rPr>
          <w:rFonts w:cs="Arial"/>
        </w:rPr>
      </w:pPr>
      <w:r>
        <w:rPr>
          <w:rFonts w:cs="Arial"/>
        </w:rPr>
        <w:t>z</w:t>
      </w:r>
      <w:r w:rsidRPr="00CE5588">
        <w:rPr>
          <w:rFonts w:cs="Arial"/>
        </w:rPr>
        <w:t>astoupen</w:t>
      </w:r>
      <w:r>
        <w:rPr>
          <w:rFonts w:cs="Arial"/>
        </w:rPr>
        <w:t xml:space="preserve">é panem </w:t>
      </w:r>
      <w:r w:rsidRPr="00CE5588">
        <w:rPr>
          <w:rFonts w:cs="Arial"/>
        </w:rPr>
        <w:t>Mgr. Petr</w:t>
      </w:r>
      <w:r>
        <w:rPr>
          <w:rFonts w:cs="Arial"/>
        </w:rPr>
        <w:t>em</w:t>
      </w:r>
      <w:r w:rsidRPr="00CE5588">
        <w:rPr>
          <w:rFonts w:cs="Arial"/>
        </w:rPr>
        <w:t xml:space="preserve"> Mazanc</w:t>
      </w:r>
      <w:r>
        <w:rPr>
          <w:rFonts w:cs="Arial"/>
        </w:rPr>
        <w:t>em</w:t>
      </w:r>
      <w:r w:rsidRPr="00CE5588">
        <w:rPr>
          <w:rFonts w:cs="Arial"/>
        </w:rPr>
        <w:t>, ředitel</w:t>
      </w:r>
      <w:r>
        <w:rPr>
          <w:rFonts w:cs="Arial"/>
        </w:rPr>
        <w:t>em</w:t>
      </w:r>
      <w:r w:rsidRPr="00CE5588">
        <w:rPr>
          <w:rFonts w:cs="Arial"/>
        </w:rPr>
        <w:t xml:space="preserve"> školy</w:t>
      </w:r>
    </w:p>
    <w:p w:rsidR="00441619" w:rsidRPr="00CE5588" w:rsidRDefault="00441619" w:rsidP="00347063">
      <w:pPr>
        <w:pStyle w:val="Bezmezer"/>
        <w:spacing w:line="264" w:lineRule="auto"/>
        <w:rPr>
          <w:rFonts w:ascii="Arial" w:hAnsi="Arial" w:cs="Arial"/>
          <w:sz w:val="20"/>
          <w:szCs w:val="20"/>
        </w:rPr>
      </w:pPr>
      <w:r w:rsidRPr="00CE5588">
        <w:rPr>
          <w:rFonts w:ascii="Arial" w:hAnsi="Arial" w:cs="Arial"/>
          <w:sz w:val="20"/>
          <w:szCs w:val="20"/>
        </w:rPr>
        <w:t>(dále jen Kupující)</w:t>
      </w:r>
    </w:p>
    <w:p w:rsidR="00441619" w:rsidRPr="00793743" w:rsidRDefault="00441619" w:rsidP="00347063">
      <w:pPr>
        <w:spacing w:before="120" w:after="120" w:line="264" w:lineRule="auto"/>
        <w:rPr>
          <w:rFonts w:cs="Arial"/>
        </w:rPr>
      </w:pPr>
      <w:r w:rsidRPr="00793743">
        <w:rPr>
          <w:rFonts w:cs="Arial"/>
        </w:rPr>
        <w:t>a</w:t>
      </w:r>
    </w:p>
    <w:p w:rsidR="00441619" w:rsidRPr="00793743" w:rsidRDefault="00441619" w:rsidP="00347063">
      <w:pPr>
        <w:spacing w:line="264" w:lineRule="auto"/>
        <w:rPr>
          <w:rFonts w:cs="Arial"/>
          <w:b/>
        </w:rPr>
      </w:pPr>
      <w:r>
        <w:rPr>
          <w:rFonts w:cs="Arial"/>
          <w:b/>
        </w:rPr>
        <w:t>Prodávající</w:t>
      </w:r>
      <w:r w:rsidRPr="00793743">
        <w:rPr>
          <w:rFonts w:cs="Arial"/>
          <w:b/>
        </w:rPr>
        <w:t>:</w:t>
      </w:r>
    </w:p>
    <w:p w:rsidR="00441619" w:rsidRPr="0043659E" w:rsidRDefault="00441619" w:rsidP="00347063">
      <w:pPr>
        <w:spacing w:line="264" w:lineRule="auto"/>
        <w:rPr>
          <w:rFonts w:cs="Arial"/>
        </w:rPr>
      </w:pPr>
      <w:r w:rsidRPr="0043659E">
        <w:rPr>
          <w:rFonts w:cs="Arial"/>
        </w:rPr>
        <w:t xml:space="preserve">Název: </w:t>
      </w:r>
      <w:r w:rsidRPr="0043659E">
        <w:rPr>
          <w:rFonts w:cs="Arial"/>
          <w:b/>
          <w:bCs/>
          <w:color w:val="FF0000"/>
        </w:rPr>
        <w:t xml:space="preserve">doplní </w:t>
      </w:r>
      <w:r w:rsidR="00CE5588">
        <w:rPr>
          <w:rFonts w:cs="Arial"/>
          <w:b/>
          <w:bCs/>
          <w:color w:val="FF0000"/>
        </w:rPr>
        <w:t xml:space="preserve">uchazeč </w:t>
      </w:r>
    </w:p>
    <w:p w:rsidR="00441619" w:rsidRPr="0043659E" w:rsidRDefault="006F59A6" w:rsidP="00347063">
      <w:pPr>
        <w:spacing w:line="264" w:lineRule="auto"/>
        <w:rPr>
          <w:rFonts w:cs="Arial"/>
        </w:rPr>
      </w:pPr>
      <w:r>
        <w:rPr>
          <w:rFonts w:cs="Arial"/>
        </w:rPr>
        <w:t>se sídlem</w:t>
      </w:r>
      <w:r w:rsidR="00441619" w:rsidRPr="0043659E">
        <w:rPr>
          <w:rFonts w:cs="Arial"/>
        </w:rPr>
        <w:t xml:space="preserve">: </w:t>
      </w:r>
      <w:r w:rsidR="00441619" w:rsidRPr="0043659E">
        <w:rPr>
          <w:rFonts w:cs="Arial"/>
          <w:b/>
          <w:bCs/>
          <w:color w:val="FF0000"/>
        </w:rPr>
        <w:t xml:space="preserve">doplní </w:t>
      </w:r>
      <w:r w:rsidR="00CE5588">
        <w:rPr>
          <w:rFonts w:cs="Arial"/>
          <w:b/>
          <w:bCs/>
          <w:color w:val="FF0000"/>
        </w:rPr>
        <w:t xml:space="preserve">uchazeč </w:t>
      </w:r>
    </w:p>
    <w:p w:rsidR="00441619" w:rsidRPr="0043659E" w:rsidRDefault="00441619" w:rsidP="00347063">
      <w:pPr>
        <w:spacing w:line="264" w:lineRule="auto"/>
        <w:rPr>
          <w:rFonts w:cs="Arial"/>
        </w:rPr>
      </w:pPr>
      <w:r w:rsidRPr="0043659E">
        <w:rPr>
          <w:rFonts w:cs="Arial"/>
        </w:rPr>
        <w:t xml:space="preserve">IČ: </w:t>
      </w:r>
      <w:r w:rsidRPr="0043659E">
        <w:rPr>
          <w:rFonts w:cs="Arial"/>
          <w:b/>
          <w:bCs/>
          <w:color w:val="FF0000"/>
        </w:rPr>
        <w:t xml:space="preserve">doplní </w:t>
      </w:r>
      <w:r w:rsidR="00CE5588">
        <w:rPr>
          <w:rFonts w:cs="Arial"/>
          <w:b/>
          <w:bCs/>
          <w:color w:val="FF0000"/>
        </w:rPr>
        <w:t xml:space="preserve">uchazeč </w:t>
      </w:r>
    </w:p>
    <w:p w:rsidR="00441619" w:rsidRPr="0043659E" w:rsidRDefault="006F59A6" w:rsidP="00347063">
      <w:pPr>
        <w:spacing w:line="264" w:lineRule="auto"/>
        <w:rPr>
          <w:rFonts w:cs="Arial"/>
        </w:rPr>
      </w:pPr>
      <w:r>
        <w:rPr>
          <w:rFonts w:cs="Arial"/>
        </w:rPr>
        <w:t>zastoupený</w:t>
      </w:r>
      <w:r w:rsidR="00441619" w:rsidRPr="0043659E">
        <w:rPr>
          <w:rFonts w:cs="Arial"/>
        </w:rPr>
        <w:t xml:space="preserve">: </w:t>
      </w:r>
      <w:r w:rsidR="00441619" w:rsidRPr="0043659E">
        <w:rPr>
          <w:rFonts w:cs="Arial"/>
          <w:b/>
          <w:bCs/>
          <w:color w:val="FF0000"/>
        </w:rPr>
        <w:t xml:space="preserve">doplní </w:t>
      </w:r>
      <w:r w:rsidR="00CE5588">
        <w:rPr>
          <w:rFonts w:cs="Arial"/>
          <w:b/>
          <w:bCs/>
          <w:color w:val="FF0000"/>
        </w:rPr>
        <w:t>uchazeč</w:t>
      </w:r>
    </w:p>
    <w:p w:rsidR="00C8591A" w:rsidRPr="0043659E" w:rsidRDefault="00C8591A" w:rsidP="00347063">
      <w:pPr>
        <w:spacing w:line="264" w:lineRule="auto"/>
        <w:rPr>
          <w:rFonts w:cs="Arial"/>
        </w:rPr>
      </w:pPr>
      <w:r>
        <w:rPr>
          <w:rFonts w:cs="Arial"/>
          <w:bCs/>
        </w:rPr>
        <w:t>B</w:t>
      </w:r>
      <w:r w:rsidRPr="00C8591A">
        <w:rPr>
          <w:rFonts w:cs="Arial"/>
          <w:bCs/>
        </w:rPr>
        <w:t>ankovní spojení:</w:t>
      </w:r>
      <w:r>
        <w:rPr>
          <w:rFonts w:cs="Arial"/>
          <w:b/>
          <w:bCs/>
          <w:color w:val="FF0000"/>
        </w:rPr>
        <w:t xml:space="preserve"> </w:t>
      </w:r>
      <w:r w:rsidRPr="0043659E">
        <w:rPr>
          <w:rFonts w:cs="Arial"/>
          <w:b/>
          <w:bCs/>
          <w:color w:val="FF0000"/>
        </w:rPr>
        <w:t xml:space="preserve">doplní </w:t>
      </w:r>
      <w:r w:rsidR="00CE5588">
        <w:rPr>
          <w:rFonts w:cs="Arial"/>
          <w:b/>
          <w:bCs/>
          <w:color w:val="FF0000"/>
        </w:rPr>
        <w:t>uchazeč</w:t>
      </w:r>
    </w:p>
    <w:p w:rsidR="00441619" w:rsidRPr="0043659E" w:rsidRDefault="00441619" w:rsidP="00347063">
      <w:pPr>
        <w:pStyle w:val="Bezmezer"/>
        <w:spacing w:after="120" w:line="264" w:lineRule="auto"/>
        <w:rPr>
          <w:rFonts w:ascii="Arial" w:hAnsi="Arial" w:cs="Arial"/>
          <w:sz w:val="20"/>
          <w:szCs w:val="20"/>
        </w:rPr>
      </w:pPr>
      <w:r w:rsidRPr="0043659E">
        <w:rPr>
          <w:rFonts w:ascii="Arial" w:hAnsi="Arial" w:cs="Arial"/>
          <w:sz w:val="20"/>
          <w:szCs w:val="20"/>
        </w:rPr>
        <w:t>(dále jen P</w:t>
      </w:r>
      <w:r>
        <w:rPr>
          <w:rFonts w:ascii="Arial" w:hAnsi="Arial" w:cs="Arial"/>
          <w:sz w:val="20"/>
          <w:szCs w:val="20"/>
        </w:rPr>
        <w:t>rodávající</w:t>
      </w:r>
      <w:r w:rsidRPr="0043659E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347063">
      <w:pPr>
        <w:spacing w:line="264" w:lineRule="auto"/>
        <w:rPr>
          <w:rFonts w:cs="Arial"/>
        </w:rPr>
      </w:pPr>
      <w:r w:rsidRPr="00793743">
        <w:rPr>
          <w:rFonts w:cs="Arial"/>
        </w:rPr>
        <w:t>uzavřeli níže uvedeného dne, měsíce a roku tuto smlouvu:</w:t>
      </w:r>
    </w:p>
    <w:p w:rsidR="00441619" w:rsidRDefault="00441619" w:rsidP="00347063">
      <w:pPr>
        <w:spacing w:before="360" w:line="264" w:lineRule="auto"/>
        <w:jc w:val="center"/>
        <w:rPr>
          <w:rFonts w:cs="Arial"/>
          <w:b/>
        </w:rPr>
      </w:pPr>
      <w:r w:rsidRPr="00793743">
        <w:rPr>
          <w:rFonts w:cs="Arial"/>
          <w:b/>
        </w:rPr>
        <w:t>II.</w:t>
      </w:r>
      <w:r>
        <w:rPr>
          <w:rFonts w:cs="Arial"/>
          <w:b/>
        </w:rPr>
        <w:t xml:space="preserve"> </w:t>
      </w:r>
      <w:r w:rsidRPr="00793743">
        <w:rPr>
          <w:rFonts w:cs="Arial"/>
          <w:b/>
        </w:rPr>
        <w:t>PREAMBULE</w:t>
      </w:r>
    </w:p>
    <w:p w:rsidR="00441619" w:rsidRPr="00436C39" w:rsidRDefault="00441619" w:rsidP="005F0772">
      <w:r w:rsidRPr="00436C39">
        <w:t xml:space="preserve">Tato smlouva se uzavírá na základě </w:t>
      </w:r>
      <w:r w:rsidR="002E0F86">
        <w:t xml:space="preserve">zadávací dokumentace a </w:t>
      </w:r>
      <w:r w:rsidRPr="00436C39">
        <w:t xml:space="preserve">vyhodnocení </w:t>
      </w:r>
      <w:r w:rsidR="00CE5588" w:rsidRPr="00436C39">
        <w:t xml:space="preserve">výběrového řízení </w:t>
      </w:r>
      <w:r w:rsidR="00CE5588" w:rsidRPr="00436C39">
        <w:rPr>
          <w:color w:val="010000"/>
        </w:rPr>
        <w:t xml:space="preserve">veřejné zakázky malého rozsahu na dodávky </w:t>
      </w:r>
      <w:r w:rsidR="00CE5588" w:rsidRPr="00436C39">
        <w:t xml:space="preserve">s názvem </w:t>
      </w:r>
      <w:r w:rsidR="00CE5588" w:rsidRPr="00436C39">
        <w:rPr>
          <w:b/>
        </w:rPr>
        <w:t>„Nákup vybavení praktické výuky</w:t>
      </w:r>
      <w:r w:rsidR="00CE5588" w:rsidRPr="00436C39">
        <w:t xml:space="preserve">“ </w:t>
      </w:r>
      <w:r w:rsidR="005F0772" w:rsidRPr="00436C39">
        <w:t>v rámci projektu „</w:t>
      </w:r>
      <w:r w:rsidR="005F0772" w:rsidRPr="00436C39">
        <w:rPr>
          <w:b/>
        </w:rPr>
        <w:t>Podpora technického a přírodovědného vzdělávání v Plzeňském kraji</w:t>
      </w:r>
      <w:r w:rsidR="005F0772" w:rsidRPr="00436C39">
        <w:t>“</w:t>
      </w:r>
      <w:r w:rsidR="00436C39">
        <w:t>,</w:t>
      </w:r>
      <w:r w:rsidR="005F0772" w:rsidRPr="00436C39">
        <w:t xml:space="preserve"> </w:t>
      </w:r>
      <w:r w:rsidR="00436C39" w:rsidRPr="00436C39">
        <w:rPr>
          <w:rFonts w:cs="Calibri"/>
        </w:rPr>
        <w:t xml:space="preserve">registrační číslo projektu: </w:t>
      </w:r>
      <w:r w:rsidR="00436C39" w:rsidRPr="00436C39">
        <w:t>CZ.1.07/1.1.00/44.0002</w:t>
      </w:r>
      <w:r w:rsidR="00436C39" w:rsidRPr="00436C39">
        <w:rPr>
          <w:rFonts w:cs="Calibri"/>
        </w:rPr>
        <w:t xml:space="preserve">, podpořeného v rámci Operačního programu Vzdělávání pro konkurenceschopnost. </w:t>
      </w:r>
      <w:r w:rsidR="005F0772" w:rsidRPr="00436C39">
        <w:t xml:space="preserve"> </w:t>
      </w:r>
      <w:r w:rsidR="00CE5588" w:rsidRPr="00436C39">
        <w:t xml:space="preserve"> </w:t>
      </w:r>
    </w:p>
    <w:p w:rsidR="00441619" w:rsidRPr="00070E73" w:rsidRDefault="00441619" w:rsidP="00347063">
      <w:pPr>
        <w:spacing w:before="360" w:after="120" w:line="264" w:lineRule="auto"/>
        <w:jc w:val="center"/>
        <w:rPr>
          <w:rFonts w:cs="Arial"/>
          <w:b/>
        </w:rPr>
      </w:pPr>
      <w:r w:rsidRPr="00070E73">
        <w:rPr>
          <w:rFonts w:cs="Arial"/>
          <w:b/>
        </w:rPr>
        <w:t>III. PŘEDMĚT SMLOUVY</w:t>
      </w:r>
    </w:p>
    <w:p w:rsidR="00441619" w:rsidRDefault="00294B8B" w:rsidP="0034706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je výlučným vlastníkem</w:t>
      </w:r>
      <w:r w:rsidR="00441619" w:rsidRPr="007826CE">
        <w:rPr>
          <w:rFonts w:ascii="Arial" w:hAnsi="Arial" w:cs="Arial"/>
          <w:sz w:val="20"/>
          <w:szCs w:val="20"/>
        </w:rPr>
        <w:t xml:space="preserve"> </w:t>
      </w:r>
      <w:r w:rsidR="00C42824">
        <w:rPr>
          <w:rFonts w:ascii="Arial" w:hAnsi="Arial" w:cs="Arial"/>
          <w:sz w:val="20"/>
          <w:szCs w:val="20"/>
        </w:rPr>
        <w:t xml:space="preserve">nového, nepoužitého </w:t>
      </w:r>
      <w:r w:rsidR="005167B7">
        <w:rPr>
          <w:rFonts w:ascii="Arial" w:hAnsi="Arial" w:cs="Arial"/>
          <w:sz w:val="20"/>
          <w:szCs w:val="20"/>
        </w:rPr>
        <w:t>zboží</w:t>
      </w:r>
      <w:r w:rsidR="00441619" w:rsidRPr="007826CE">
        <w:rPr>
          <w:rFonts w:ascii="Arial" w:hAnsi="Arial" w:cs="Arial"/>
          <w:sz w:val="20"/>
          <w:szCs w:val="20"/>
        </w:rPr>
        <w:t xml:space="preserve"> uvedeného v následuj</w:t>
      </w:r>
      <w:r w:rsidR="00C8591A" w:rsidRPr="007826CE">
        <w:rPr>
          <w:rFonts w:ascii="Arial" w:hAnsi="Arial" w:cs="Arial"/>
          <w:sz w:val="20"/>
          <w:szCs w:val="20"/>
        </w:rPr>
        <w:t>ící tabulce</w:t>
      </w:r>
      <w:r w:rsidR="00294ED0">
        <w:rPr>
          <w:rFonts w:ascii="Arial" w:hAnsi="Arial" w:cs="Arial"/>
          <w:sz w:val="20"/>
          <w:szCs w:val="20"/>
        </w:rPr>
        <w:t xml:space="preserve">. </w:t>
      </w:r>
      <w:r w:rsidR="00441619" w:rsidRPr="007826CE">
        <w:rPr>
          <w:rFonts w:ascii="Arial" w:hAnsi="Arial" w:cs="Arial"/>
          <w:sz w:val="20"/>
          <w:szCs w:val="20"/>
        </w:rPr>
        <w:t xml:space="preserve">Specifikace uvedeného </w:t>
      </w:r>
      <w:r w:rsidR="00C8591A" w:rsidRPr="007826CE">
        <w:rPr>
          <w:rFonts w:ascii="Arial" w:hAnsi="Arial" w:cs="Arial"/>
          <w:sz w:val="20"/>
          <w:szCs w:val="20"/>
        </w:rPr>
        <w:t>zboží, kter</w:t>
      </w:r>
      <w:r w:rsidR="00D50F73">
        <w:rPr>
          <w:rFonts w:ascii="Arial" w:hAnsi="Arial" w:cs="Arial"/>
          <w:sz w:val="20"/>
          <w:szCs w:val="20"/>
        </w:rPr>
        <w:t>é</w:t>
      </w:r>
      <w:r w:rsidR="00C8591A" w:rsidRPr="007826CE">
        <w:rPr>
          <w:rFonts w:ascii="Arial" w:hAnsi="Arial" w:cs="Arial"/>
          <w:sz w:val="20"/>
          <w:szCs w:val="20"/>
        </w:rPr>
        <w:t xml:space="preserve"> splňuje požadavky uvedené v </w:t>
      </w:r>
      <w:r w:rsidR="00347063">
        <w:rPr>
          <w:rFonts w:ascii="Arial" w:hAnsi="Arial" w:cs="Arial"/>
          <w:sz w:val="20"/>
          <w:szCs w:val="20"/>
        </w:rPr>
        <w:t>z</w:t>
      </w:r>
      <w:r w:rsidR="00C8591A" w:rsidRPr="007826CE">
        <w:rPr>
          <w:rFonts w:ascii="Arial" w:hAnsi="Arial" w:cs="Arial"/>
          <w:sz w:val="20"/>
          <w:szCs w:val="20"/>
        </w:rPr>
        <w:t>adávací dokumentaci k</w:t>
      </w:r>
      <w:r w:rsidR="00347063">
        <w:rPr>
          <w:rFonts w:ascii="Arial" w:hAnsi="Arial" w:cs="Arial"/>
          <w:sz w:val="20"/>
          <w:szCs w:val="20"/>
        </w:rPr>
        <w:t xml:space="preserve"> </w:t>
      </w:r>
      <w:r w:rsidR="00C8591A" w:rsidRPr="007826CE">
        <w:rPr>
          <w:rFonts w:ascii="Arial" w:hAnsi="Arial" w:cs="Arial"/>
          <w:sz w:val="20"/>
          <w:szCs w:val="20"/>
        </w:rPr>
        <w:t>této veřejné zakázce,</w:t>
      </w:r>
      <w:r w:rsidR="00C8591A" w:rsidRPr="007826CE">
        <w:rPr>
          <w:rFonts w:ascii="Arial" w:hAnsi="Arial" w:cs="Arial"/>
          <w:b/>
          <w:sz w:val="20"/>
          <w:szCs w:val="20"/>
        </w:rPr>
        <w:t xml:space="preserve"> </w:t>
      </w:r>
      <w:r w:rsidR="00C8591A" w:rsidRPr="007826CE">
        <w:rPr>
          <w:rFonts w:ascii="Arial" w:hAnsi="Arial" w:cs="Arial"/>
          <w:sz w:val="20"/>
          <w:szCs w:val="20"/>
        </w:rPr>
        <w:t xml:space="preserve">tvoří </w:t>
      </w:r>
      <w:r w:rsidR="00347063">
        <w:rPr>
          <w:rFonts w:ascii="Arial" w:hAnsi="Arial" w:cs="Arial"/>
          <w:sz w:val="20"/>
          <w:szCs w:val="20"/>
        </w:rPr>
        <w:t xml:space="preserve">nedílnou </w:t>
      </w:r>
      <w:r w:rsidR="00C8591A" w:rsidRPr="001C69ED">
        <w:rPr>
          <w:rFonts w:ascii="Arial" w:hAnsi="Arial" w:cs="Arial"/>
          <w:sz w:val="20"/>
          <w:szCs w:val="20"/>
        </w:rPr>
        <w:t>přílohu</w:t>
      </w:r>
      <w:r w:rsidR="00441619" w:rsidRPr="001C69ED">
        <w:rPr>
          <w:rFonts w:ascii="Arial" w:hAnsi="Arial" w:cs="Arial"/>
          <w:sz w:val="20"/>
          <w:szCs w:val="20"/>
        </w:rPr>
        <w:t xml:space="preserve"> </w:t>
      </w:r>
      <w:r w:rsidR="00441619" w:rsidRPr="007826CE">
        <w:rPr>
          <w:rFonts w:ascii="Arial" w:hAnsi="Arial" w:cs="Arial"/>
          <w:sz w:val="20"/>
          <w:szCs w:val="20"/>
        </w:rPr>
        <w:t>této Smlouvy.</w:t>
      </w:r>
    </w:p>
    <w:tbl>
      <w:tblPr>
        <w:tblW w:w="8646" w:type="dxa"/>
        <w:tblInd w:w="5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bottom w:w="28" w:type="dxa"/>
        </w:tblCellMar>
        <w:tblLook w:val="01E0"/>
      </w:tblPr>
      <w:tblGrid>
        <w:gridCol w:w="869"/>
        <w:gridCol w:w="924"/>
        <w:gridCol w:w="6853"/>
      </w:tblGrid>
      <w:tr w:rsidR="00441619" w:rsidRPr="00973E05" w:rsidTr="007826CE">
        <w:trPr>
          <w:trHeight w:val="85"/>
        </w:trPr>
        <w:tc>
          <w:tcPr>
            <w:tcW w:w="1793" w:type="dxa"/>
            <w:gridSpan w:val="2"/>
            <w:tcBorders>
              <w:bottom w:val="single" w:sz="18" w:space="0" w:color="808080" w:themeColor="background1" w:themeShade="80"/>
            </w:tcBorders>
            <w:vAlign w:val="center"/>
          </w:tcPr>
          <w:p w:rsidR="00441619" w:rsidRPr="00973E05" w:rsidRDefault="00223E6B" w:rsidP="00223E6B">
            <w:pPr>
              <w:spacing w:before="40" w:after="40" w:line="264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="00441619" w:rsidRPr="00973E05">
              <w:rPr>
                <w:rFonts w:cs="Arial"/>
                <w:b/>
              </w:rPr>
              <w:t>očet</w:t>
            </w:r>
          </w:p>
        </w:tc>
        <w:tc>
          <w:tcPr>
            <w:tcW w:w="6853" w:type="dxa"/>
            <w:tcBorders>
              <w:bottom w:val="single" w:sz="18" w:space="0" w:color="808080" w:themeColor="background1" w:themeShade="80"/>
            </w:tcBorders>
            <w:vAlign w:val="center"/>
            <w:hideMark/>
          </w:tcPr>
          <w:p w:rsidR="00441619" w:rsidRPr="00973E05" w:rsidRDefault="00223E6B" w:rsidP="00223E6B">
            <w:pPr>
              <w:spacing w:before="40" w:after="40" w:line="264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</w:t>
            </w:r>
            <w:r w:rsidR="00294ED0">
              <w:rPr>
                <w:rFonts w:cs="Arial"/>
                <w:b/>
              </w:rPr>
              <w:t>boží</w:t>
            </w:r>
          </w:p>
        </w:tc>
      </w:tr>
      <w:tr w:rsidR="0039241C" w:rsidRPr="00973E05" w:rsidTr="007826CE">
        <w:trPr>
          <w:trHeight w:val="85"/>
        </w:trPr>
        <w:tc>
          <w:tcPr>
            <w:tcW w:w="869" w:type="dxa"/>
            <w:tcBorders>
              <w:top w:val="single" w:sz="18" w:space="0" w:color="808080" w:themeColor="background1" w:themeShade="80"/>
            </w:tcBorders>
            <w:vAlign w:val="center"/>
          </w:tcPr>
          <w:p w:rsidR="0039241C" w:rsidRPr="00973E05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18" w:space="0" w:color="808080" w:themeColor="background1" w:themeShade="80"/>
            </w:tcBorders>
            <w:vAlign w:val="center"/>
          </w:tcPr>
          <w:p w:rsidR="0039241C" w:rsidRPr="00973E05" w:rsidRDefault="0039241C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 w:rsidRPr="00973E0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18" w:space="0" w:color="808080" w:themeColor="background1" w:themeShade="80"/>
            </w:tcBorders>
            <w:vAlign w:val="center"/>
            <w:hideMark/>
          </w:tcPr>
          <w:p w:rsidR="0039241C" w:rsidRPr="00090C57" w:rsidRDefault="00223E6B" w:rsidP="00223E6B">
            <w:pPr>
              <w:suppressAutoHyphens w:val="0"/>
              <w:autoSpaceDE w:val="0"/>
              <w:autoSpaceDN w:val="0"/>
              <w:adjustRightInd w:val="0"/>
              <w:rPr>
                <w:rFonts w:cs="Arial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mikrometr</w:t>
            </w:r>
            <w:r w:rsidRPr="00090C57">
              <w:rPr>
                <w:rFonts w:cs="Arial"/>
              </w:rPr>
              <w:t xml:space="preserve"> </w:t>
            </w:r>
          </w:p>
        </w:tc>
      </w:tr>
      <w:tr w:rsidR="00B6314D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314D" w:rsidRPr="00973E05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314D" w:rsidRPr="00973E05" w:rsidRDefault="00B6314D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 w:rsidRPr="00973E0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6314D" w:rsidRPr="00090C57" w:rsidRDefault="00223E6B" w:rsidP="00223E6B">
            <w:pPr>
              <w:suppressAutoHyphens w:val="0"/>
              <w:autoSpaceDE w:val="0"/>
              <w:autoSpaceDN w:val="0"/>
              <w:adjustRightInd w:val="0"/>
              <w:rPr>
                <w:rFonts w:eastAsiaTheme="majorEastAsia" w:cs="Arial"/>
                <w:bCs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sada siloměrů</w:t>
            </w:r>
            <w:r w:rsidRPr="00090C57">
              <w:rPr>
                <w:rFonts w:eastAsiaTheme="majorEastAsia" w:cs="Arial"/>
                <w:bCs/>
              </w:rPr>
              <w:t xml:space="preserve"> </w:t>
            </w:r>
          </w:p>
        </w:tc>
      </w:tr>
      <w:tr w:rsidR="00223E6B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Pr="00973E05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223E6B" w:rsidRPr="00090C57" w:rsidRDefault="00223E6B" w:rsidP="00223E6B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válcových pružin </w:t>
            </w:r>
          </w:p>
        </w:tc>
      </w:tr>
      <w:tr w:rsidR="00223E6B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Pr="00973E05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223E6B" w:rsidRPr="00090C57" w:rsidRDefault="00223E6B" w:rsidP="00223E6B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kyvadlových koulí (s háčkem) </w:t>
            </w:r>
          </w:p>
        </w:tc>
      </w:tr>
      <w:tr w:rsidR="00223E6B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Pr="00973E05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223E6B" w:rsidRPr="00090C57" w:rsidRDefault="00223E6B" w:rsidP="00223E6B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kulečníkových koulí </w:t>
            </w:r>
          </w:p>
        </w:tc>
      </w:tr>
      <w:tr w:rsidR="00223E6B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3E6B" w:rsidRDefault="00223E6B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223E6B" w:rsidRPr="00090C57" w:rsidRDefault="00223E6B" w:rsidP="00223E6B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kulečníkových koulí </w:t>
            </w:r>
          </w:p>
        </w:tc>
      </w:tr>
      <w:tr w:rsidR="00DB241A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241A" w:rsidRDefault="009E37CD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241A" w:rsidRDefault="009E37CD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241A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frekvenční generátor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10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9E37C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digitální měřicí přístroj pro žáky 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Butanový plynový hořák včetně odnímatelné náplně s jehlovým ventilem a regulací vzduchu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Trojnožka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Žákovská souprava pro mechaniku, včetně potřebného stativového materiálu (sada viz dále), úložného boxu a návodů k prováděným pokusům 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Žákovská souprava pro termiku, včetně potřebného stativového materiálu (sada viz dále), úložného boxu a návodů k prováděným pokusům</w:t>
            </w: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F7616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 xml:space="preserve">Žákovská souprava pro elektřinu, včetně potřebného stativového materiálu (sada viz dále), úložného boxu a návodů k prováděným pokusům </w:t>
            </w:r>
          </w:p>
        </w:tc>
      </w:tr>
      <w:tr w:rsidR="00F7616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616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76168" w:rsidRPr="00090C57" w:rsidRDefault="00F76168" w:rsidP="00F761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 xml:space="preserve">Sada – stativový materiál – v úložném boxu, pro práci s dříve uvedenými žákovskými </w:t>
            </w:r>
            <w:proofErr w:type="gramStart"/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soupravami (Ž.S.</w:t>
            </w:r>
            <w:proofErr w:type="gramEnd"/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 xml:space="preserve"> Pro mechaniku, termiku a elektřinu) </w:t>
            </w:r>
          </w:p>
        </w:tc>
      </w:tr>
      <w:tr w:rsidR="00700B4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00B48" w:rsidRPr="00090C57" w:rsidRDefault="00700B48" w:rsidP="00700B4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demonstrační analogový a digitální měřicí přístroj</w:t>
            </w:r>
          </w:p>
        </w:tc>
      </w:tr>
      <w:tr w:rsidR="00700B4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00B48" w:rsidRPr="00090C57" w:rsidRDefault="00700B48" w:rsidP="00700B4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Propojovací panel a stativový materiál s držáky pro jeho svislé držení</w:t>
            </w:r>
          </w:p>
        </w:tc>
      </w:tr>
      <w:tr w:rsidR="00700B4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00B48" w:rsidRPr="00090C57" w:rsidRDefault="00700B48" w:rsidP="00700B4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momentový kotouč s čepem pro upevnění na tyči a magnetický držák s čepem </w:t>
            </w:r>
          </w:p>
        </w:tc>
      </w:tr>
      <w:tr w:rsidR="00700B4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00B48" w:rsidRPr="00090C57" w:rsidRDefault="00700B48" w:rsidP="00700B4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Budič kmitů s příslušenstvím </w:t>
            </w:r>
          </w:p>
        </w:tc>
      </w:tr>
      <w:tr w:rsidR="00700B4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700B48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00B48" w:rsidRPr="00090C57" w:rsidRDefault="00700B48" w:rsidP="00700B4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Válečky se stejnou hmotností </w:t>
            </w:r>
          </w:p>
        </w:tc>
      </w:tr>
      <w:tr w:rsidR="00700B48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00B48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00B48" w:rsidRPr="00090C57" w:rsidRDefault="00B946D9" w:rsidP="00700B4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Demonstrační siloměr </w:t>
            </w:r>
          </w:p>
        </w:tc>
      </w:tr>
      <w:tr w:rsidR="00B946D9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946D9" w:rsidRPr="00090C57" w:rsidRDefault="00B946D9" w:rsidP="00B946D9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Demonstrační měřicí přístroj pro měření elektrického náboje </w:t>
            </w:r>
          </w:p>
        </w:tc>
      </w:tr>
      <w:tr w:rsidR="00B946D9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946D9" w:rsidRPr="00090C57" w:rsidRDefault="00B946D9" w:rsidP="00B946D9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Desky k demonstraci adheze </w:t>
            </w:r>
          </w:p>
        </w:tc>
      </w:tr>
      <w:tr w:rsidR="00B946D9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946D9" w:rsidRPr="00090C57" w:rsidRDefault="00B946D9" w:rsidP="00B946D9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Induktor vysokého napětí</w:t>
            </w:r>
          </w:p>
        </w:tc>
      </w:tr>
      <w:tr w:rsidR="00B946D9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946D9" w:rsidRPr="00090C57" w:rsidRDefault="00B946D9" w:rsidP="00B946D9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Soubor pomůcek pro demonstraci elektrostatického chování</w:t>
            </w:r>
          </w:p>
        </w:tc>
      </w:tr>
      <w:tr w:rsidR="00B946D9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46D9" w:rsidRDefault="00B946D9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946D9" w:rsidRPr="00090C57" w:rsidRDefault="00B946D9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Soubor pomůcek pro demonstraci principu třífázových motorů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Soubor pomůcek pro demonstraci proudění kapaliny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Rotační olejová vývěva dvoustupňová s příslušenstvím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akumulátor s nabíječkou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 xml:space="preserve">měřící rozhraní k PC 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čidlo polohy a pohybu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siloměr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senzor tlaku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8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DB6A65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DB6A65" w:rsidP="00DB6A6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mikrofon</w:t>
            </w:r>
          </w:p>
        </w:tc>
      </w:tr>
      <w:tr w:rsidR="00DB6A65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6A65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B6A65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luxmetr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ampérmetr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ampérmetr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voltmetr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voltmetr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teploměr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teploměr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akcelerometr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souprava pro mechaniku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akumulátorová vrtačka</w:t>
            </w:r>
          </w:p>
        </w:tc>
      </w:tr>
      <w:tr w:rsidR="00090C57" w:rsidRPr="00973E05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DB6A65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0C57" w:rsidRDefault="00090C57" w:rsidP="00347063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90C57" w:rsidRPr="00090C57" w:rsidRDefault="00090C57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horkovzdušná pistole</w:t>
            </w:r>
          </w:p>
        </w:tc>
      </w:tr>
    </w:tbl>
    <w:p w:rsidR="0088031B" w:rsidRDefault="0088031B" w:rsidP="00347063">
      <w:pPr>
        <w:pStyle w:val="Odstavecseseznamem"/>
        <w:autoSpaceDE w:val="0"/>
        <w:autoSpaceDN w:val="0"/>
        <w:adjustRightInd w:val="0"/>
        <w:spacing w:after="0" w:line="264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294B8B" w:rsidRDefault="00294B8B" w:rsidP="0034706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prodává na z</w:t>
      </w:r>
      <w:r w:rsidR="00C8591A" w:rsidRPr="007826CE">
        <w:rPr>
          <w:rFonts w:ascii="Arial" w:hAnsi="Arial" w:cs="Arial"/>
          <w:sz w:val="20"/>
          <w:szCs w:val="20"/>
        </w:rPr>
        <w:t>ákladě této Smlouvy shora uveden</w:t>
      </w:r>
      <w:r w:rsidR="00294ED0">
        <w:rPr>
          <w:rFonts w:ascii="Arial" w:hAnsi="Arial" w:cs="Arial"/>
          <w:sz w:val="20"/>
          <w:szCs w:val="20"/>
        </w:rPr>
        <w:t xml:space="preserve">é zboží </w:t>
      </w:r>
      <w:r w:rsidRPr="007826CE">
        <w:rPr>
          <w:rFonts w:ascii="Arial" w:hAnsi="Arial" w:cs="Arial"/>
          <w:sz w:val="20"/>
          <w:szCs w:val="20"/>
        </w:rPr>
        <w:t>za vzájemně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dohodnutou kupní cenu do vlastnictví kupujícího.</w:t>
      </w:r>
    </w:p>
    <w:p w:rsidR="00441619" w:rsidRDefault="00294B8B" w:rsidP="0034706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se zavazuje převést na kupujícího vlastnictví k</w:t>
      </w:r>
      <w:r w:rsidR="00294ED0">
        <w:rPr>
          <w:rFonts w:ascii="Arial" w:hAnsi="Arial" w:cs="Arial"/>
          <w:sz w:val="20"/>
          <w:szCs w:val="20"/>
        </w:rPr>
        <w:t>e</w:t>
      </w:r>
      <w:r w:rsidRPr="007826CE">
        <w:rPr>
          <w:rFonts w:ascii="Arial" w:hAnsi="Arial" w:cs="Arial"/>
          <w:sz w:val="20"/>
          <w:szCs w:val="20"/>
        </w:rPr>
        <w:t xml:space="preserve">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Pr="007826CE">
        <w:rPr>
          <w:rFonts w:ascii="Arial" w:hAnsi="Arial" w:cs="Arial"/>
          <w:sz w:val="20"/>
          <w:szCs w:val="20"/>
        </w:rPr>
        <w:t>za podmínek níže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 xml:space="preserve">uvedených, kupující se zavazuje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Pr="007826CE">
        <w:rPr>
          <w:rFonts w:ascii="Arial" w:hAnsi="Arial" w:cs="Arial"/>
          <w:sz w:val="20"/>
          <w:szCs w:val="20"/>
        </w:rPr>
        <w:t>převzít a zaplatit za n</w:t>
      </w:r>
      <w:r w:rsidR="00294ED0">
        <w:rPr>
          <w:rFonts w:ascii="Arial" w:hAnsi="Arial" w:cs="Arial"/>
          <w:sz w:val="20"/>
          <w:szCs w:val="20"/>
        </w:rPr>
        <w:t>ěj</w:t>
      </w:r>
      <w:r w:rsidRPr="007826CE">
        <w:rPr>
          <w:rFonts w:ascii="Arial" w:hAnsi="Arial" w:cs="Arial"/>
          <w:sz w:val="20"/>
          <w:szCs w:val="20"/>
        </w:rPr>
        <w:t xml:space="preserve"> prodávajícímu dohodnutou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kupní cenu.</w:t>
      </w:r>
    </w:p>
    <w:p w:rsidR="0016540C" w:rsidRPr="007826CE" w:rsidRDefault="0016540C" w:rsidP="0034706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Předmětem </w:t>
      </w:r>
      <w:r w:rsidR="000B074E" w:rsidRPr="007515D7">
        <w:rPr>
          <w:rFonts w:ascii="Arial" w:hAnsi="Arial" w:cs="Arial"/>
          <w:sz w:val="20"/>
          <w:szCs w:val="20"/>
        </w:rPr>
        <w:t xml:space="preserve">smlouvy je kromě výše uvedeného i provedení všech činností nezbytných pro řádné dodání zboží, zejména transport na místo dodání zboží, </w:t>
      </w:r>
      <w:r w:rsidR="00B846A6">
        <w:rPr>
          <w:rFonts w:ascii="Arial" w:hAnsi="Arial" w:cs="Arial"/>
          <w:sz w:val="20"/>
          <w:szCs w:val="20"/>
        </w:rPr>
        <w:t xml:space="preserve">smontování, </w:t>
      </w:r>
      <w:r w:rsidR="000B074E" w:rsidRPr="007515D7">
        <w:rPr>
          <w:rFonts w:ascii="Arial" w:hAnsi="Arial" w:cs="Arial"/>
          <w:sz w:val="20"/>
          <w:szCs w:val="20"/>
        </w:rPr>
        <w:t>usazení na místo, instalace, odzkoušení a předvedení zařízení</w:t>
      </w:r>
      <w:r w:rsidR="000B074E">
        <w:rPr>
          <w:rFonts w:ascii="Arial" w:hAnsi="Arial" w:cs="Arial"/>
          <w:sz w:val="20"/>
          <w:szCs w:val="20"/>
        </w:rPr>
        <w:t xml:space="preserve">, </w:t>
      </w:r>
      <w:r w:rsidR="000B074E" w:rsidRPr="007515D7">
        <w:rPr>
          <w:rFonts w:ascii="Arial" w:hAnsi="Arial" w:cs="Arial"/>
          <w:sz w:val="20"/>
          <w:szCs w:val="20"/>
        </w:rPr>
        <w:t>předání veškerých dokladů nutných k převzetí a užívání zboží</w:t>
      </w:r>
      <w:r w:rsidR="000B074E">
        <w:rPr>
          <w:rFonts w:ascii="Arial" w:hAnsi="Arial" w:cs="Arial"/>
          <w:sz w:val="20"/>
          <w:szCs w:val="20"/>
        </w:rPr>
        <w:t>, zaškolení kupujícího, je-li to opodstatněné povahou zboží, v obsluze a údržbě zboží a případná likvidace odpadu.</w:t>
      </w:r>
      <w:r w:rsidR="000B074E" w:rsidRPr="007515D7">
        <w:rPr>
          <w:rFonts w:ascii="Arial" w:hAnsi="Arial" w:cs="Arial"/>
          <w:sz w:val="20"/>
          <w:szCs w:val="20"/>
        </w:rPr>
        <w:t xml:space="preserve">   </w:t>
      </w:r>
      <w:r w:rsidR="000B074E">
        <w:rPr>
          <w:rFonts w:ascii="Arial" w:hAnsi="Arial" w:cs="Arial"/>
          <w:sz w:val="20"/>
          <w:szCs w:val="20"/>
        </w:rPr>
        <w:t xml:space="preserve"> </w:t>
      </w:r>
      <w:r w:rsidR="0093644E"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294B8B" w:rsidRDefault="007826CE" w:rsidP="00347063">
      <w:pPr>
        <w:autoSpaceDE w:val="0"/>
        <w:autoSpaceDN w:val="0"/>
        <w:adjustRightInd w:val="0"/>
        <w:spacing w:before="360" w:after="120" w:line="264" w:lineRule="auto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IV. </w:t>
      </w:r>
      <w:r w:rsidR="00294B8B" w:rsidRPr="007826CE">
        <w:rPr>
          <w:rFonts w:cs="Arial"/>
          <w:b/>
        </w:rPr>
        <w:t>CENA A PLATEBNÍ PODMÍNKY</w:t>
      </w:r>
    </w:p>
    <w:p w:rsidR="00294B8B" w:rsidRPr="007826CE" w:rsidRDefault="00294B8B" w:rsidP="0034706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Kupující se zavazuje zaplatit prodávajícímu za </w:t>
      </w:r>
      <w:r w:rsidR="0093644E">
        <w:rPr>
          <w:rFonts w:ascii="Arial" w:hAnsi="Arial" w:cs="Arial"/>
          <w:sz w:val="20"/>
          <w:szCs w:val="20"/>
        </w:rPr>
        <w:t xml:space="preserve">předmět smlouvy </w:t>
      </w:r>
      <w:r w:rsidRPr="007826CE">
        <w:rPr>
          <w:rFonts w:ascii="Arial" w:hAnsi="Arial" w:cs="Arial"/>
          <w:b/>
          <w:sz w:val="20"/>
          <w:szCs w:val="20"/>
        </w:rPr>
        <w:t>celkovou</w:t>
      </w:r>
      <w:r w:rsidRPr="007826CE">
        <w:rPr>
          <w:rFonts w:ascii="Arial" w:hAnsi="Arial" w:cs="Arial"/>
          <w:sz w:val="20"/>
          <w:szCs w:val="20"/>
        </w:rPr>
        <w:t xml:space="preserve"> nejvýše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přípustnou kupní cenu ve výši:</w:t>
      </w:r>
    </w:p>
    <w:p w:rsidR="00C8591A" w:rsidRPr="007826CE" w:rsidRDefault="00C8591A" w:rsidP="00646A07">
      <w:pPr>
        <w:autoSpaceDE w:val="0"/>
        <w:autoSpaceDN w:val="0"/>
        <w:adjustRightInd w:val="0"/>
        <w:spacing w:line="264" w:lineRule="auto"/>
        <w:ind w:left="340"/>
        <w:rPr>
          <w:rFonts w:cs="Arial"/>
        </w:rPr>
      </w:pPr>
      <w:r w:rsidRPr="007826CE">
        <w:rPr>
          <w:rFonts w:cs="Arial"/>
          <w:b/>
          <w:bCs/>
          <w:color w:val="FF0000"/>
        </w:rPr>
        <w:t xml:space="preserve">doplní </w:t>
      </w:r>
      <w:r w:rsidR="00FB775F">
        <w:rPr>
          <w:rFonts w:cs="Arial"/>
          <w:b/>
          <w:bCs/>
          <w:color w:val="FF0000"/>
        </w:rPr>
        <w:t xml:space="preserve">uchazeč </w:t>
      </w:r>
      <w:r w:rsidRPr="007826CE">
        <w:rPr>
          <w:rFonts w:cs="Arial"/>
        </w:rPr>
        <w:t>Kč bez DPH</w:t>
      </w:r>
    </w:p>
    <w:p w:rsidR="00C8591A" w:rsidRPr="007826CE" w:rsidRDefault="00C8591A" w:rsidP="00646A07">
      <w:pPr>
        <w:autoSpaceDE w:val="0"/>
        <w:autoSpaceDN w:val="0"/>
        <w:adjustRightInd w:val="0"/>
        <w:spacing w:line="264" w:lineRule="auto"/>
        <w:ind w:left="340"/>
        <w:rPr>
          <w:rFonts w:cs="Arial"/>
        </w:rPr>
      </w:pPr>
      <w:r w:rsidRPr="007826CE">
        <w:rPr>
          <w:rFonts w:cs="Arial"/>
          <w:b/>
          <w:bCs/>
          <w:color w:val="FF0000"/>
        </w:rPr>
        <w:t xml:space="preserve">doplní </w:t>
      </w:r>
      <w:r w:rsidR="002B01D1">
        <w:rPr>
          <w:rFonts w:cs="Arial"/>
          <w:b/>
          <w:bCs/>
          <w:color w:val="FF0000"/>
        </w:rPr>
        <w:t>uchazeč</w:t>
      </w:r>
      <w:r w:rsidRPr="007826CE">
        <w:rPr>
          <w:rFonts w:cs="Arial"/>
          <w:b/>
          <w:bCs/>
          <w:color w:val="FF0000"/>
        </w:rPr>
        <w:t xml:space="preserve"> </w:t>
      </w:r>
      <w:r w:rsidRPr="007826CE">
        <w:rPr>
          <w:rFonts w:cs="Arial"/>
          <w:bCs/>
        </w:rPr>
        <w:t xml:space="preserve">Kč </w:t>
      </w:r>
      <w:r w:rsidRPr="007826CE">
        <w:rPr>
          <w:rFonts w:cs="Arial"/>
        </w:rPr>
        <w:t>DPH</w:t>
      </w:r>
    </w:p>
    <w:p w:rsidR="00294B8B" w:rsidRPr="007826CE" w:rsidRDefault="00C8591A" w:rsidP="00646A07">
      <w:pPr>
        <w:autoSpaceDE w:val="0"/>
        <w:autoSpaceDN w:val="0"/>
        <w:adjustRightInd w:val="0"/>
        <w:spacing w:line="264" w:lineRule="auto"/>
        <w:ind w:left="340"/>
        <w:rPr>
          <w:rFonts w:cs="Arial"/>
        </w:rPr>
      </w:pPr>
      <w:r w:rsidRPr="007826CE">
        <w:rPr>
          <w:rFonts w:cs="Arial"/>
          <w:b/>
          <w:bCs/>
          <w:color w:val="FF0000"/>
        </w:rPr>
        <w:t xml:space="preserve">doplní </w:t>
      </w:r>
      <w:r w:rsidR="00A9214C">
        <w:rPr>
          <w:rFonts w:cs="Arial"/>
          <w:b/>
          <w:bCs/>
          <w:color w:val="FF0000"/>
        </w:rPr>
        <w:t>uchazeč</w:t>
      </w:r>
      <w:r w:rsidRPr="007826CE">
        <w:rPr>
          <w:rFonts w:cs="Arial"/>
        </w:rPr>
        <w:t xml:space="preserve"> Kč s DPH</w:t>
      </w:r>
    </w:p>
    <w:p w:rsidR="00B22275" w:rsidRDefault="00B22275" w:rsidP="00347063">
      <w:pPr>
        <w:autoSpaceDE w:val="0"/>
        <w:autoSpaceDN w:val="0"/>
        <w:adjustRightInd w:val="0"/>
        <w:spacing w:line="264" w:lineRule="auto"/>
        <w:jc w:val="left"/>
        <w:rPr>
          <w:rFonts w:cs="Arial"/>
        </w:rPr>
      </w:pPr>
    </w:p>
    <w:p w:rsidR="00B22275" w:rsidRDefault="00B22275" w:rsidP="00347063">
      <w:pPr>
        <w:autoSpaceDE w:val="0"/>
        <w:autoSpaceDN w:val="0"/>
        <w:adjustRightInd w:val="0"/>
        <w:spacing w:line="264" w:lineRule="auto"/>
        <w:jc w:val="left"/>
        <w:rPr>
          <w:rFonts w:cs="Arial"/>
        </w:rPr>
      </w:pPr>
    </w:p>
    <w:tbl>
      <w:tblPr>
        <w:tblW w:w="0" w:type="auto"/>
        <w:tblInd w:w="5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28" w:type="dxa"/>
          <w:bottom w:w="28" w:type="dxa"/>
        </w:tblCellMar>
        <w:tblLook w:val="01E0"/>
      </w:tblPr>
      <w:tblGrid>
        <w:gridCol w:w="439"/>
        <w:gridCol w:w="553"/>
        <w:gridCol w:w="3381"/>
        <w:gridCol w:w="2041"/>
        <w:gridCol w:w="2232"/>
      </w:tblGrid>
      <w:tr w:rsidR="00B22275" w:rsidRPr="00973E05" w:rsidTr="00B22275">
        <w:trPr>
          <w:trHeight w:val="85"/>
        </w:trPr>
        <w:tc>
          <w:tcPr>
            <w:tcW w:w="992" w:type="dxa"/>
            <w:gridSpan w:val="2"/>
            <w:tcBorders>
              <w:bottom w:val="single" w:sz="18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973E05">
              <w:rPr>
                <w:rFonts w:cs="Arial"/>
                <w:b/>
              </w:rPr>
              <w:t>očet</w:t>
            </w:r>
          </w:p>
        </w:tc>
        <w:tc>
          <w:tcPr>
            <w:tcW w:w="3381" w:type="dxa"/>
            <w:tcBorders>
              <w:bottom w:val="single" w:sz="18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zboží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18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za ks s DPH</w:t>
            </w:r>
          </w:p>
        </w:tc>
        <w:tc>
          <w:tcPr>
            <w:tcW w:w="2232" w:type="dxa"/>
            <w:tcBorders>
              <w:left w:val="single" w:sz="4" w:space="0" w:color="auto"/>
              <w:bottom w:val="single" w:sz="18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celkem s DPH</w:t>
            </w: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18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18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 w:rsidRPr="00973E05"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18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cs="Arial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mikrometr</w:t>
            </w:r>
            <w:r w:rsidRPr="00090C57">
              <w:rPr>
                <w:rFonts w:cs="Arial"/>
              </w:rPr>
              <w:t xml:space="preserve"> </w:t>
            </w:r>
          </w:p>
        </w:tc>
        <w:tc>
          <w:tcPr>
            <w:tcW w:w="2041" w:type="dxa"/>
            <w:tcBorders>
              <w:top w:val="single" w:sz="18" w:space="0" w:color="808080" w:themeColor="background1" w:themeShade="80"/>
              <w:left w:val="single" w:sz="4" w:space="0" w:color="auto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232" w:type="dxa"/>
            <w:tcBorders>
              <w:top w:val="single" w:sz="18" w:space="0" w:color="808080" w:themeColor="background1" w:themeShade="80"/>
              <w:left w:val="single" w:sz="4" w:space="0" w:color="auto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 w:rsidRPr="00973E05"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eastAsiaTheme="majorEastAsia" w:cs="Arial"/>
                <w:bCs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sada siloměrů</w:t>
            </w:r>
            <w:r w:rsidRPr="00090C57">
              <w:rPr>
                <w:rFonts w:eastAsiaTheme="majorEastAsia" w:cs="Arial"/>
                <w:bCs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eastAsiaTheme="majorEastAsia" w:cs="Arial"/>
                <w:bCs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eastAsiaTheme="majorEastAsia" w:cs="Arial"/>
                <w:bCs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válcových pružin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kyvadlových koulí (s háčkem)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973E0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kulečníkových koulí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sada kulečníkových koulí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frekvenční generátor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digitální měřicí přístroj pro žáky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Butanový plynový hořák včetně odnímatelné náplně s jehlovým ventilem a regulací vzduchu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Trojnožka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Žákovská souprava pro mechaniku, včetně potřebného stativového materiálu (sada viz dále), úložného boxu a návodů k prováděným pokusům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Žákovská souprava pro termiku, včetně potřebného stativového materiálu (sada viz dále), úložného boxu a návodů k prováděným pokusům</w:t>
            </w: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 xml:space="preserve">Žákovská souprava pro elektřinu, včetně potřebného stativového materiálu (sada viz dále), úložného boxu a návodů k prováděným pokusům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 xml:space="preserve">Sada – stativový materiál – v úložném boxu, pro práci s dříve uvedenými žákovskými </w:t>
            </w:r>
            <w:proofErr w:type="gramStart"/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soupravami (Ž.S.</w:t>
            </w:r>
            <w:proofErr w:type="gramEnd"/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 xml:space="preserve"> Pro mechaniku, termiku a elektřinu)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demonstrační analogový a digitální měřicí přístroj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Propojovací panel a stativový materiál s držáky pro jeho svislé držení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momentový kotouč s čepem pro upevnění na tyči a magnetický držák s čepem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Budič kmitů s příslušenstvím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Válečky se stejnou hmotností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Demonstrační siloměr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Demonstrační měřicí přístroj pro měření elektrického náboje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 xml:space="preserve">Desky k demonstraci adheze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Induktor vysokého napětí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Soubor pomůcek pro demonstraci elektrostatického chování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Soubor pomůcek pro demonstraci principu třífázových motorů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Soubor pomůcek pro demonstraci proudění kapaliny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Rotační olejová vývěva dvoustupňová s příslušenstvím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  <w:t>akumulátor s nabíječkou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 xml:space="preserve">měřící rozhraní k PC 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NewRomanPSMT" w:hAnsiTheme="minorHAnsi" w:cs="TimesNewRomanPS-BoldMT"/>
                <w:bCs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čidlo polohy a pohybu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siloměr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senzor tlaku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mikrofon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luxmetr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ampérmetr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ampérmetr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voltmetr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voltmetr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teploměr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teploměr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akcelerometr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  <w:t>souprava pro mechaniku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090C5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  <w:t>akumulátorová vrtačka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1A1A1A"/>
                <w:sz w:val="24"/>
                <w:szCs w:val="24"/>
                <w:lang w:eastAsia="en-US"/>
              </w:rPr>
            </w:pPr>
          </w:p>
        </w:tc>
      </w:tr>
      <w:tr w:rsidR="00B22275" w:rsidRPr="00973E05" w:rsidTr="00B22275">
        <w:trPr>
          <w:trHeight w:val="85"/>
        </w:trPr>
        <w:tc>
          <w:tcPr>
            <w:tcW w:w="4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Default="00B22275" w:rsidP="00090C57">
            <w:pPr>
              <w:spacing w:before="40" w:after="40" w:line="264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33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  <w:hideMark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  <w:r w:rsidRPr="00090C57">
              <w:rPr>
                <w:rFonts w:asciiTheme="minorHAnsi" w:eastAsiaTheme="minorHAnsi" w:hAnsiTheme="minorHAnsi" w:cs="TimesNewRomanPS-BoldMT"/>
                <w:bCs/>
                <w:sz w:val="24"/>
                <w:szCs w:val="24"/>
                <w:lang w:eastAsia="en-US"/>
              </w:rPr>
              <w:t>horkovzdušná pistole</w:t>
            </w:r>
          </w:p>
        </w:tc>
        <w:tc>
          <w:tcPr>
            <w:tcW w:w="204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22275" w:rsidRPr="00090C57" w:rsidRDefault="00B22275" w:rsidP="00B2227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TimesNewRomanPS-BoldMT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73E05" w:rsidRPr="00C61EEA" w:rsidRDefault="00973E05" w:rsidP="00347063">
      <w:pPr>
        <w:autoSpaceDE w:val="0"/>
        <w:autoSpaceDN w:val="0"/>
        <w:adjustRightInd w:val="0"/>
        <w:spacing w:line="264" w:lineRule="auto"/>
        <w:rPr>
          <w:rFonts w:cs="Arial"/>
        </w:rPr>
      </w:pPr>
    </w:p>
    <w:p w:rsidR="005F7444" w:rsidRPr="007344BA" w:rsidRDefault="005F7444" w:rsidP="00DE1A0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344BA">
        <w:rPr>
          <w:rFonts w:ascii="Arial" w:eastAsia="Times New Roman" w:hAnsi="Arial" w:cs="Arial"/>
          <w:iCs/>
          <w:sz w:val="20"/>
          <w:szCs w:val="20"/>
        </w:rPr>
        <w:t xml:space="preserve">Prodávající na sebe bere odpovědnost za to, že sazba a výše daně z přidané hodnoty bude stanovena v souladu s platnými právními předpisy. </w:t>
      </w:r>
    </w:p>
    <w:p w:rsidR="005F7444" w:rsidRDefault="005F7444" w:rsidP="00347063">
      <w:pPr>
        <w:pStyle w:val="Nadpis2"/>
        <w:numPr>
          <w:ilvl w:val="0"/>
          <w:numId w:val="0"/>
        </w:numPr>
        <w:spacing w:before="0" w:after="0" w:line="264" w:lineRule="auto"/>
        <w:ind w:left="360"/>
        <w:rPr>
          <w:iCs/>
          <w:sz w:val="20"/>
          <w:szCs w:val="20"/>
        </w:rPr>
      </w:pPr>
      <w:r>
        <w:rPr>
          <w:rFonts w:eastAsiaTheme="minorHAnsi"/>
          <w:sz w:val="20"/>
          <w:szCs w:val="20"/>
        </w:rPr>
        <w:t>V případě, že dojde mezi dnem podpisu kupní smlouvy a dnem uskutečnění zdanitelného plnění ke změně sazby DPH podle zákona 235/2004 Sb., o dani z přidané hodnoty, bude d</w:t>
      </w:r>
      <w:r>
        <w:rPr>
          <w:iCs/>
          <w:sz w:val="20"/>
          <w:szCs w:val="20"/>
        </w:rPr>
        <w:t>aň z přidané hodnoty připočtena ke kupní ceně ve výši dle právní úpravy platné ke dni uskutečnění zdanitelného plnění.</w:t>
      </w:r>
    </w:p>
    <w:p w:rsidR="005F7444" w:rsidRDefault="005F7444" w:rsidP="00347063">
      <w:pPr>
        <w:pStyle w:val="Odstavecseseznamem"/>
        <w:autoSpaceDE w:val="0"/>
        <w:autoSpaceDN w:val="0"/>
        <w:adjustRightInd w:val="0"/>
        <w:spacing w:after="0" w:line="264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Změna sazby DPH musí být provedena formou písemného dodatku k této smlouvě.</w:t>
      </w:r>
    </w:p>
    <w:p w:rsidR="00294B8B" w:rsidRPr="007826CE" w:rsidRDefault="00294B8B" w:rsidP="00646A0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Kupní cenu zaplatí kupující prodávajícímu bankovním převodem na bankovní účet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prodávajícího uvedený v článku 1 této Smlouvy na základě daňového dokladu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 xml:space="preserve">vystaveného prodávajícím </w:t>
      </w:r>
      <w:r w:rsidR="00F153F3">
        <w:rPr>
          <w:rFonts w:ascii="Arial" w:hAnsi="Arial" w:cs="Arial"/>
          <w:sz w:val="20"/>
          <w:szCs w:val="20"/>
        </w:rPr>
        <w:lastRenderedPageBreak/>
        <w:t xml:space="preserve">nejdříve následující den po dni </w:t>
      </w:r>
      <w:r w:rsidRPr="007826CE">
        <w:rPr>
          <w:rFonts w:ascii="Arial" w:hAnsi="Arial" w:cs="Arial"/>
          <w:sz w:val="20"/>
          <w:szCs w:val="20"/>
        </w:rPr>
        <w:t>uskutečnění zdanitelného plnění, který</w:t>
      </w:r>
      <w:r w:rsidR="005B60CA">
        <w:rPr>
          <w:rFonts w:ascii="Arial" w:hAnsi="Arial" w:cs="Arial"/>
          <w:sz w:val="20"/>
          <w:szCs w:val="20"/>
        </w:rPr>
        <w:t>m</w:t>
      </w:r>
      <w:r w:rsidRPr="007826CE">
        <w:rPr>
          <w:rFonts w:ascii="Arial" w:hAnsi="Arial" w:cs="Arial"/>
          <w:sz w:val="20"/>
          <w:szCs w:val="20"/>
        </w:rPr>
        <w:t xml:space="preserve"> </w:t>
      </w:r>
      <w:r w:rsidR="005B60CA">
        <w:rPr>
          <w:rFonts w:ascii="Arial" w:hAnsi="Arial" w:cs="Arial"/>
          <w:sz w:val="20"/>
          <w:szCs w:val="20"/>
        </w:rPr>
        <w:t xml:space="preserve">se rozumí </w:t>
      </w:r>
      <w:r w:rsidRPr="007826CE">
        <w:rPr>
          <w:rFonts w:ascii="Arial" w:hAnsi="Arial" w:cs="Arial"/>
          <w:sz w:val="20"/>
          <w:szCs w:val="20"/>
        </w:rPr>
        <w:t>d</w:t>
      </w:r>
      <w:r w:rsidR="005B60CA">
        <w:rPr>
          <w:rFonts w:ascii="Arial" w:hAnsi="Arial" w:cs="Arial"/>
          <w:sz w:val="20"/>
          <w:szCs w:val="20"/>
        </w:rPr>
        <w:t xml:space="preserve">en </w:t>
      </w:r>
      <w:r w:rsidRPr="007826CE">
        <w:rPr>
          <w:rFonts w:ascii="Arial" w:hAnsi="Arial" w:cs="Arial"/>
          <w:sz w:val="20"/>
          <w:szCs w:val="20"/>
        </w:rPr>
        <w:t>po</w:t>
      </w:r>
      <w:r w:rsidR="007826CE" w:rsidRPr="007826CE">
        <w:rPr>
          <w:rFonts w:ascii="Arial" w:hAnsi="Arial" w:cs="Arial"/>
          <w:sz w:val="20"/>
          <w:szCs w:val="20"/>
        </w:rPr>
        <w:t>depsání protokolu podle článku 5</w:t>
      </w:r>
      <w:r w:rsidRPr="007826CE">
        <w:rPr>
          <w:rFonts w:ascii="Arial" w:hAnsi="Arial" w:cs="Arial"/>
          <w:sz w:val="20"/>
          <w:szCs w:val="20"/>
        </w:rPr>
        <w:t>.</w:t>
      </w:r>
      <w:r w:rsidR="006F59A6">
        <w:rPr>
          <w:rFonts w:ascii="Arial" w:hAnsi="Arial" w:cs="Arial"/>
          <w:sz w:val="20"/>
          <w:szCs w:val="20"/>
        </w:rPr>
        <w:t>4</w:t>
      </w:r>
      <w:r w:rsidRPr="007826CE">
        <w:rPr>
          <w:rFonts w:ascii="Arial" w:hAnsi="Arial" w:cs="Arial"/>
          <w:sz w:val="20"/>
          <w:szCs w:val="20"/>
        </w:rPr>
        <w:t xml:space="preserve"> této Smlouvy. Splatnost daňového dokladu je </w:t>
      </w:r>
      <w:r w:rsidR="005B60CA">
        <w:rPr>
          <w:rFonts w:ascii="Arial" w:hAnsi="Arial" w:cs="Arial"/>
          <w:sz w:val="20"/>
          <w:szCs w:val="20"/>
        </w:rPr>
        <w:t>6</w:t>
      </w:r>
      <w:r w:rsidR="00294ED0">
        <w:rPr>
          <w:rFonts w:ascii="Arial" w:hAnsi="Arial" w:cs="Arial"/>
          <w:sz w:val="20"/>
          <w:szCs w:val="20"/>
        </w:rPr>
        <w:t>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</w:t>
      </w:r>
      <w:r w:rsidR="00C61EEA">
        <w:rPr>
          <w:rFonts w:ascii="Arial" w:hAnsi="Arial" w:cs="Arial"/>
          <w:sz w:val="20"/>
          <w:szCs w:val="20"/>
        </w:rPr>
        <w:t>ů</w:t>
      </w:r>
      <w:r w:rsidRPr="007826CE">
        <w:rPr>
          <w:rFonts w:ascii="Arial" w:hAnsi="Arial" w:cs="Arial"/>
          <w:sz w:val="20"/>
          <w:szCs w:val="20"/>
        </w:rPr>
        <w:t xml:space="preserve"> ode dne jeho </w:t>
      </w:r>
      <w:r w:rsidR="005B60CA">
        <w:rPr>
          <w:rFonts w:ascii="Arial" w:hAnsi="Arial" w:cs="Arial"/>
          <w:sz w:val="20"/>
          <w:szCs w:val="20"/>
        </w:rPr>
        <w:t xml:space="preserve">prokazatelného </w:t>
      </w:r>
      <w:r w:rsidRPr="007826CE">
        <w:rPr>
          <w:rFonts w:ascii="Arial" w:hAnsi="Arial" w:cs="Arial"/>
          <w:sz w:val="20"/>
          <w:szCs w:val="20"/>
        </w:rPr>
        <w:t>doručení kupujícímu.</w:t>
      </w:r>
      <w:r w:rsidR="005B60CA">
        <w:rPr>
          <w:rFonts w:ascii="Arial" w:hAnsi="Arial" w:cs="Arial"/>
          <w:sz w:val="20"/>
          <w:szCs w:val="20"/>
        </w:rPr>
        <w:t xml:space="preserve"> Daňový doklad se považuje za proplacený a kupní cena za uhrazenou okamžikem odepsání příslušné částky z účtu kupujícího ve prospěch účtu prodávajícího.</w:t>
      </w:r>
    </w:p>
    <w:p w:rsidR="00294B8B" w:rsidRDefault="00294B8B" w:rsidP="00646A0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241C">
        <w:rPr>
          <w:rFonts w:ascii="Arial" w:hAnsi="Arial" w:cs="Arial"/>
          <w:sz w:val="20"/>
          <w:szCs w:val="20"/>
        </w:rPr>
        <w:t>Daňový doklad bude obsahovat náležitosti daňového a účetního dokladu podle zákona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č.</w:t>
      </w:r>
      <w:r w:rsidR="00646A07">
        <w:rPr>
          <w:rFonts w:ascii="Arial" w:hAnsi="Arial" w:cs="Arial"/>
          <w:sz w:val="20"/>
          <w:szCs w:val="20"/>
        </w:rPr>
        <w:t> </w:t>
      </w:r>
      <w:r w:rsidRPr="0039241C">
        <w:rPr>
          <w:rFonts w:ascii="Arial" w:hAnsi="Arial" w:cs="Arial"/>
          <w:sz w:val="20"/>
          <w:szCs w:val="20"/>
        </w:rPr>
        <w:t>563/1991 Sb., o účetnictví, ve znění pozdějších předpisů, zákona č. 235/2004 Sb., 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dani z</w:t>
      </w:r>
      <w:r w:rsidR="00646A07">
        <w:rPr>
          <w:rFonts w:ascii="Arial" w:hAnsi="Arial" w:cs="Arial"/>
          <w:sz w:val="20"/>
          <w:szCs w:val="20"/>
        </w:rPr>
        <w:t> </w:t>
      </w:r>
      <w:r w:rsidRPr="0039241C">
        <w:rPr>
          <w:rFonts w:ascii="Arial" w:hAnsi="Arial" w:cs="Arial"/>
          <w:sz w:val="20"/>
          <w:szCs w:val="20"/>
        </w:rPr>
        <w:t>přidané hodnoty, ve znění pozdějších předpisů</w:t>
      </w:r>
      <w:r w:rsidR="0039241C">
        <w:rPr>
          <w:rFonts w:ascii="Arial" w:hAnsi="Arial" w:cs="Arial"/>
          <w:sz w:val="20"/>
          <w:szCs w:val="20"/>
        </w:rPr>
        <w:t>,</w:t>
      </w:r>
      <w:r w:rsidRPr="0039241C">
        <w:rPr>
          <w:rFonts w:ascii="Arial" w:hAnsi="Arial" w:cs="Arial"/>
          <w:sz w:val="20"/>
          <w:szCs w:val="20"/>
        </w:rPr>
        <w:t xml:space="preserve"> bude mít náležitosti obchodní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listiny dle § 13a zákona č. 513/1991 Sb., v platném znění. V případě, že daňový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doklad takové náležitosti nebude splňovat, bude kupujícím vrácen do dne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daňového dokladu k opravení bez jeho proplacení. V takovém případ</w:t>
      </w:r>
      <w:r w:rsidR="0039241C">
        <w:rPr>
          <w:rFonts w:ascii="Arial" w:hAnsi="Arial" w:cs="Arial"/>
          <w:sz w:val="20"/>
          <w:szCs w:val="20"/>
        </w:rPr>
        <w:t>ě</w:t>
      </w:r>
      <w:r w:rsidRPr="0039241C">
        <w:rPr>
          <w:rFonts w:ascii="Arial" w:hAnsi="Arial" w:cs="Arial"/>
          <w:sz w:val="20"/>
          <w:szCs w:val="20"/>
        </w:rPr>
        <w:t xml:space="preserve"> lhůta</w:t>
      </w:r>
      <w:r w:rsidR="0039241C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počíná běžet znovu ode dne doručení opraveného či nově vyhotoveného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daňového dokladu.</w:t>
      </w:r>
    </w:p>
    <w:p w:rsidR="00000950" w:rsidRPr="007826CE" w:rsidRDefault="00294B8B" w:rsidP="00646A0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Nebude-li uhrazena kupní cena do </w:t>
      </w:r>
      <w:r w:rsidR="00646A07">
        <w:rPr>
          <w:rFonts w:ascii="Arial" w:hAnsi="Arial" w:cs="Arial"/>
          <w:sz w:val="20"/>
          <w:szCs w:val="20"/>
        </w:rPr>
        <w:t>3</w:t>
      </w:r>
      <w:r w:rsidRPr="007826CE">
        <w:rPr>
          <w:rFonts w:ascii="Arial" w:hAnsi="Arial" w:cs="Arial"/>
          <w:sz w:val="20"/>
          <w:szCs w:val="20"/>
        </w:rPr>
        <w:t>0 dnů ode dne splatnosti daňového dokladu</w:t>
      </w:r>
      <w:r w:rsidR="0055137D" w:rsidRPr="007826CE">
        <w:rPr>
          <w:rFonts w:ascii="Arial" w:hAnsi="Arial" w:cs="Arial"/>
          <w:sz w:val="20"/>
          <w:szCs w:val="20"/>
        </w:rPr>
        <w:t xml:space="preserve"> </w:t>
      </w:r>
      <w:r w:rsidR="00A91BC2">
        <w:rPr>
          <w:rFonts w:ascii="Arial" w:hAnsi="Arial" w:cs="Arial"/>
          <w:sz w:val="20"/>
          <w:szCs w:val="20"/>
        </w:rPr>
        <w:t xml:space="preserve">prodávajícímu </w:t>
      </w:r>
      <w:r w:rsidRPr="007826CE">
        <w:rPr>
          <w:rFonts w:ascii="Arial" w:hAnsi="Arial" w:cs="Arial"/>
          <w:sz w:val="20"/>
          <w:szCs w:val="20"/>
        </w:rPr>
        <w:t>v důsledku zavinění kupujícího, sjednává si prodávající právo odstoupit od této Smlouvy.</w:t>
      </w:r>
    </w:p>
    <w:p w:rsidR="00294B8B" w:rsidRPr="007826CE" w:rsidRDefault="007826CE" w:rsidP="00646A07">
      <w:pPr>
        <w:autoSpaceDE w:val="0"/>
        <w:autoSpaceDN w:val="0"/>
        <w:adjustRightInd w:val="0"/>
        <w:spacing w:before="360" w:after="120" w:line="264" w:lineRule="auto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V. </w:t>
      </w:r>
      <w:r w:rsidR="00294B8B" w:rsidRPr="007826CE">
        <w:rPr>
          <w:rFonts w:cs="Arial"/>
          <w:b/>
        </w:rPr>
        <w:t>PŘECHOD VLASTNICTVÍ A NEBEZPEČÍ ŠKODY</w:t>
      </w:r>
    </w:p>
    <w:p w:rsidR="00DE1A07" w:rsidRPr="00DE1A07" w:rsidRDefault="00294B8B" w:rsidP="00DE1A0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contextualSpacing w:val="0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</w:t>
      </w:r>
      <w:r w:rsidR="00765C49">
        <w:rPr>
          <w:rFonts w:ascii="Arial" w:hAnsi="Arial" w:cs="Arial"/>
          <w:sz w:val="20"/>
          <w:szCs w:val="20"/>
        </w:rPr>
        <w:t xml:space="preserve">dodá předmět smlouvy </w:t>
      </w:r>
      <w:r w:rsidRPr="007826CE">
        <w:rPr>
          <w:rFonts w:ascii="Arial" w:hAnsi="Arial" w:cs="Arial"/>
          <w:sz w:val="20"/>
          <w:szCs w:val="20"/>
        </w:rPr>
        <w:t xml:space="preserve">kupujícímu </w:t>
      </w:r>
      <w:r w:rsidR="005119F2">
        <w:rPr>
          <w:rFonts w:ascii="Arial" w:hAnsi="Arial" w:cs="Arial"/>
          <w:sz w:val="20"/>
          <w:szCs w:val="20"/>
        </w:rPr>
        <w:t>nejpozději do 4 týdnů od data podpisu této smlouvy kupujícím.</w:t>
      </w:r>
    </w:p>
    <w:p w:rsidR="00294B8B" w:rsidRPr="007826CE" w:rsidRDefault="00294B8B" w:rsidP="005119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Místem dodání </w:t>
      </w:r>
      <w:r w:rsidR="00294ED0">
        <w:rPr>
          <w:rFonts w:ascii="Arial" w:hAnsi="Arial" w:cs="Arial"/>
          <w:sz w:val="20"/>
          <w:szCs w:val="20"/>
        </w:rPr>
        <w:t>zboží</w:t>
      </w:r>
      <w:r w:rsidR="004D61C0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je sídlo kupujícího. Vlastnické právo k</w:t>
      </w:r>
      <w:r w:rsidR="00294ED0">
        <w:rPr>
          <w:rFonts w:ascii="Arial" w:hAnsi="Arial" w:cs="Arial"/>
          <w:sz w:val="20"/>
          <w:szCs w:val="20"/>
        </w:rPr>
        <w:t xml:space="preserve">e zboží </w:t>
      </w:r>
      <w:r w:rsidRPr="007826CE">
        <w:rPr>
          <w:rFonts w:ascii="Arial" w:hAnsi="Arial" w:cs="Arial"/>
          <w:sz w:val="20"/>
          <w:szCs w:val="20"/>
        </w:rPr>
        <w:t>přechází na kupujícího v okamžiku jeho předání a převzetí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potvrzeného na předávacím protokolu. Nebezpečí nahodilé zkázy a nahodilého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zhoršení věci včetně užitku přechází na kupujícího současně s nabytím vlastnictví.</w:t>
      </w:r>
    </w:p>
    <w:p w:rsidR="007826CE" w:rsidRPr="007826CE" w:rsidRDefault="00294B8B" w:rsidP="00646A0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Náklady spojené s odevzdáním </w:t>
      </w:r>
      <w:r w:rsidR="00294ED0">
        <w:rPr>
          <w:rFonts w:ascii="Arial" w:hAnsi="Arial" w:cs="Arial"/>
          <w:sz w:val="20"/>
          <w:szCs w:val="20"/>
        </w:rPr>
        <w:t>zboží</w:t>
      </w:r>
      <w:r w:rsidRPr="007826CE">
        <w:rPr>
          <w:rFonts w:ascii="Arial" w:hAnsi="Arial" w:cs="Arial"/>
          <w:sz w:val="20"/>
          <w:szCs w:val="20"/>
        </w:rPr>
        <w:t>, zejména balení, doprava, nese prodávající a náklady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 xml:space="preserve">spojené s převzetím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Pr="007826CE">
        <w:rPr>
          <w:rFonts w:ascii="Arial" w:hAnsi="Arial" w:cs="Arial"/>
          <w:sz w:val="20"/>
          <w:szCs w:val="20"/>
        </w:rPr>
        <w:t>nese kupující. Kupující není povinen uchovávat originální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obal.</w:t>
      </w:r>
    </w:p>
    <w:p w:rsidR="00294B8B" w:rsidRPr="007826CE" w:rsidRDefault="00911B08" w:rsidP="00646A0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</w:t>
      </w:r>
      <w:r w:rsidR="00294B8B" w:rsidRPr="007826CE">
        <w:rPr>
          <w:rFonts w:ascii="Arial" w:hAnsi="Arial" w:cs="Arial"/>
          <w:sz w:val="20"/>
          <w:szCs w:val="20"/>
        </w:rPr>
        <w:t xml:space="preserve">ředání a převzetí </w:t>
      </w:r>
      <w:r w:rsidR="00294ED0">
        <w:rPr>
          <w:rFonts w:ascii="Arial" w:hAnsi="Arial" w:cs="Arial"/>
          <w:sz w:val="20"/>
          <w:szCs w:val="20"/>
        </w:rPr>
        <w:t>zboží</w:t>
      </w:r>
      <w:r w:rsidR="00294B8B" w:rsidRPr="007826CE">
        <w:rPr>
          <w:rFonts w:ascii="Arial" w:hAnsi="Arial" w:cs="Arial"/>
          <w:sz w:val="20"/>
          <w:szCs w:val="20"/>
        </w:rPr>
        <w:t xml:space="preserve"> a souvisejících dokladů</w:t>
      </w:r>
      <w:r>
        <w:rPr>
          <w:rFonts w:ascii="Arial" w:hAnsi="Arial" w:cs="Arial"/>
          <w:sz w:val="20"/>
          <w:szCs w:val="20"/>
        </w:rPr>
        <w:t xml:space="preserve"> </w:t>
      </w:r>
      <w:r w:rsidR="00294B8B" w:rsidRPr="007826CE">
        <w:rPr>
          <w:rFonts w:ascii="Arial" w:hAnsi="Arial" w:cs="Arial"/>
          <w:sz w:val="20"/>
          <w:szCs w:val="20"/>
        </w:rPr>
        <w:t>bude sepsán protokol podepsaný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="00294B8B" w:rsidRPr="007826CE">
        <w:rPr>
          <w:rFonts w:ascii="Arial" w:hAnsi="Arial" w:cs="Arial"/>
          <w:sz w:val="20"/>
          <w:szCs w:val="20"/>
        </w:rPr>
        <w:t>oběma smluvními stranami.</w:t>
      </w:r>
    </w:p>
    <w:p w:rsidR="000A3C80" w:rsidRPr="007826CE" w:rsidRDefault="000A3C80" w:rsidP="000A3C80">
      <w:pPr>
        <w:autoSpaceDE w:val="0"/>
        <w:autoSpaceDN w:val="0"/>
        <w:adjustRightInd w:val="0"/>
        <w:spacing w:before="360" w:after="120" w:line="264" w:lineRule="auto"/>
        <w:jc w:val="center"/>
        <w:rPr>
          <w:rFonts w:cs="Arial"/>
          <w:b/>
        </w:rPr>
      </w:pPr>
      <w:r w:rsidRPr="007826CE">
        <w:rPr>
          <w:rFonts w:cs="Arial"/>
          <w:b/>
        </w:rPr>
        <w:t>VI. SMLUVNÍ POKUTY</w:t>
      </w:r>
    </w:p>
    <w:p w:rsidR="000A3C80" w:rsidRPr="007826CE" w:rsidRDefault="000A3C80" w:rsidP="000A3C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V případě prodlení prodávajícího s termínem dodávky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Pr="007826CE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>prodávající povinen uhradit ku</w:t>
      </w:r>
      <w:r w:rsidRPr="007826CE">
        <w:rPr>
          <w:rFonts w:ascii="Arial" w:hAnsi="Arial" w:cs="Arial"/>
          <w:sz w:val="20"/>
          <w:szCs w:val="20"/>
        </w:rPr>
        <w:t>pující</w:t>
      </w:r>
      <w:r>
        <w:rPr>
          <w:rFonts w:ascii="Arial" w:hAnsi="Arial" w:cs="Arial"/>
          <w:sz w:val="20"/>
          <w:szCs w:val="20"/>
        </w:rPr>
        <w:t>mu</w:t>
      </w:r>
      <w:r w:rsidRPr="007826CE">
        <w:rPr>
          <w:rFonts w:ascii="Arial" w:hAnsi="Arial" w:cs="Arial"/>
          <w:sz w:val="20"/>
          <w:szCs w:val="20"/>
        </w:rPr>
        <w:t xml:space="preserve"> smluvní pokutu ve výši 0,5 % z celkové ceny </w:t>
      </w:r>
      <w:r w:rsidR="00413400">
        <w:rPr>
          <w:rFonts w:ascii="Arial" w:hAnsi="Arial" w:cs="Arial"/>
          <w:sz w:val="20"/>
          <w:szCs w:val="20"/>
        </w:rPr>
        <w:t xml:space="preserve">tohoto zboží </w:t>
      </w:r>
      <w:r w:rsidRPr="007826CE">
        <w:rPr>
          <w:rFonts w:ascii="Arial" w:hAnsi="Arial" w:cs="Arial"/>
          <w:sz w:val="20"/>
          <w:szCs w:val="20"/>
        </w:rPr>
        <w:t xml:space="preserve">za každý i započatý </w:t>
      </w:r>
      <w:r w:rsidR="00413400">
        <w:rPr>
          <w:rFonts w:ascii="Arial" w:hAnsi="Arial" w:cs="Arial"/>
          <w:sz w:val="20"/>
          <w:szCs w:val="20"/>
        </w:rPr>
        <w:t xml:space="preserve">kalendářní </w:t>
      </w:r>
      <w:r w:rsidRPr="007826CE">
        <w:rPr>
          <w:rFonts w:ascii="Arial" w:hAnsi="Arial" w:cs="Arial"/>
          <w:sz w:val="20"/>
          <w:szCs w:val="20"/>
        </w:rPr>
        <w:t>den prodlení</w:t>
      </w:r>
      <w:r w:rsidR="00413400">
        <w:rPr>
          <w:rFonts w:ascii="Arial" w:hAnsi="Arial" w:cs="Arial"/>
          <w:sz w:val="20"/>
          <w:szCs w:val="20"/>
        </w:rPr>
        <w:t>, maximálně však do výše 100% ceny tohoto zboží.</w:t>
      </w:r>
    </w:p>
    <w:p w:rsidR="000A3C80" w:rsidRPr="007826CE" w:rsidRDefault="000A3C80" w:rsidP="000A3C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kupujícího s úhradou c</w:t>
      </w:r>
      <w:r>
        <w:rPr>
          <w:rFonts w:ascii="Arial" w:hAnsi="Arial" w:cs="Arial"/>
          <w:sz w:val="20"/>
          <w:szCs w:val="20"/>
        </w:rPr>
        <w:t xml:space="preserve">eny za dodávku </w:t>
      </w:r>
      <w:r w:rsidR="00294ED0">
        <w:rPr>
          <w:rFonts w:ascii="Arial" w:hAnsi="Arial" w:cs="Arial"/>
          <w:sz w:val="20"/>
          <w:szCs w:val="20"/>
        </w:rPr>
        <w:t>zboží</w:t>
      </w:r>
      <w:r w:rsidRPr="007826CE">
        <w:rPr>
          <w:rFonts w:ascii="Arial" w:hAnsi="Arial" w:cs="Arial"/>
          <w:sz w:val="20"/>
          <w:szCs w:val="20"/>
        </w:rPr>
        <w:t xml:space="preserve"> je prodávající oprávněn účtovat kupujícímu smluvní pokutu ve výši 0,05 % z dlužné částky za každý </w:t>
      </w:r>
      <w:r w:rsidR="00D17927">
        <w:rPr>
          <w:rFonts w:ascii="Arial" w:hAnsi="Arial" w:cs="Arial"/>
          <w:sz w:val="20"/>
          <w:szCs w:val="20"/>
        </w:rPr>
        <w:t xml:space="preserve">i započatý </w:t>
      </w:r>
      <w:r w:rsidR="00413400">
        <w:rPr>
          <w:rFonts w:ascii="Arial" w:hAnsi="Arial" w:cs="Arial"/>
          <w:sz w:val="20"/>
          <w:szCs w:val="20"/>
        </w:rPr>
        <w:t xml:space="preserve">kalendářní </w:t>
      </w:r>
      <w:r w:rsidRPr="007826CE">
        <w:rPr>
          <w:rFonts w:ascii="Arial" w:hAnsi="Arial" w:cs="Arial"/>
          <w:sz w:val="20"/>
          <w:szCs w:val="20"/>
        </w:rPr>
        <w:t>den prodlení</w:t>
      </w:r>
      <w:r w:rsidR="00A41BE7">
        <w:rPr>
          <w:rFonts w:ascii="Arial" w:hAnsi="Arial" w:cs="Arial"/>
          <w:sz w:val="20"/>
          <w:szCs w:val="20"/>
        </w:rPr>
        <w:t xml:space="preserve"> </w:t>
      </w:r>
      <w:r w:rsidR="00A41BE7">
        <w:rPr>
          <w:rFonts w:cs="Arial"/>
        </w:rPr>
        <w:t>počínaje jeho 30. dnem</w:t>
      </w:r>
      <w:r w:rsidR="00413400">
        <w:rPr>
          <w:rFonts w:cs="Arial"/>
        </w:rPr>
        <w:t>, maximálně však do výše 100% ceny tohoto zboží</w:t>
      </w:r>
      <w:r w:rsidR="00A41BE7">
        <w:rPr>
          <w:rFonts w:cs="Arial"/>
        </w:rPr>
        <w:t xml:space="preserve">. </w:t>
      </w:r>
    </w:p>
    <w:p w:rsidR="000A3C80" w:rsidRPr="007826CE" w:rsidRDefault="000A3C80" w:rsidP="000A3C80">
      <w:pPr>
        <w:autoSpaceDE w:val="0"/>
        <w:autoSpaceDN w:val="0"/>
        <w:adjustRightInd w:val="0"/>
        <w:spacing w:before="360" w:after="120" w:line="264" w:lineRule="auto"/>
        <w:jc w:val="center"/>
        <w:rPr>
          <w:rFonts w:cs="Arial"/>
          <w:b/>
        </w:rPr>
      </w:pPr>
      <w:r w:rsidRPr="007826CE">
        <w:rPr>
          <w:rFonts w:cs="Arial"/>
          <w:b/>
        </w:rPr>
        <w:t>VII. ODPOVĚDNOST ZA VADY</w:t>
      </w:r>
      <w:r>
        <w:rPr>
          <w:rFonts w:cs="Arial"/>
          <w:b/>
        </w:rPr>
        <w:t>, ZÁRUKA</w:t>
      </w:r>
    </w:p>
    <w:p w:rsidR="000A3C80" w:rsidRPr="00A65E2D" w:rsidRDefault="000A3C80" w:rsidP="000A3C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</w:t>
      </w:r>
      <w:r>
        <w:rPr>
          <w:rFonts w:ascii="Arial" w:hAnsi="Arial" w:cs="Arial"/>
          <w:sz w:val="20"/>
          <w:szCs w:val="20"/>
        </w:rPr>
        <w:t xml:space="preserve">prohlašuje, že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="00280BF4">
        <w:rPr>
          <w:rFonts w:ascii="Arial" w:hAnsi="Arial" w:cs="Arial"/>
          <w:sz w:val="20"/>
          <w:szCs w:val="20"/>
        </w:rPr>
        <w:t xml:space="preserve">má vlastnosti zabezpečující jeho řádné užívání a že </w:t>
      </w:r>
      <w:r>
        <w:rPr>
          <w:rFonts w:ascii="Arial" w:hAnsi="Arial" w:cs="Arial"/>
          <w:sz w:val="20"/>
          <w:szCs w:val="20"/>
        </w:rPr>
        <w:t xml:space="preserve">je bez vad faktických i právních, a </w:t>
      </w:r>
      <w:r w:rsidRPr="007826CE">
        <w:rPr>
          <w:rFonts w:ascii="Arial" w:hAnsi="Arial" w:cs="Arial"/>
          <w:sz w:val="20"/>
          <w:szCs w:val="20"/>
        </w:rPr>
        <w:t xml:space="preserve">poskytuje na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Pr="007826CE">
        <w:rPr>
          <w:rFonts w:ascii="Arial" w:hAnsi="Arial" w:cs="Arial"/>
          <w:sz w:val="20"/>
          <w:szCs w:val="20"/>
        </w:rPr>
        <w:t>záruku</w:t>
      </w:r>
      <w:r w:rsidR="00984F5F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 xml:space="preserve">v délce </w:t>
      </w:r>
      <w:r w:rsidRPr="007826CE">
        <w:rPr>
          <w:rFonts w:ascii="Arial" w:hAnsi="Arial" w:cs="Arial"/>
          <w:b/>
          <w:bCs/>
          <w:color w:val="FF0000"/>
          <w:sz w:val="20"/>
          <w:szCs w:val="20"/>
        </w:rPr>
        <w:t xml:space="preserve">doplní </w:t>
      </w:r>
      <w:r w:rsidR="00A9214C">
        <w:rPr>
          <w:rFonts w:ascii="Arial" w:hAnsi="Arial" w:cs="Arial"/>
          <w:b/>
          <w:bCs/>
          <w:color w:val="FF0000"/>
          <w:sz w:val="20"/>
          <w:szCs w:val="20"/>
        </w:rPr>
        <w:t xml:space="preserve">uchazeč </w:t>
      </w:r>
      <w:r w:rsidRPr="007826CE">
        <w:rPr>
          <w:rFonts w:ascii="Arial" w:hAnsi="Arial" w:cs="Arial"/>
          <w:sz w:val="20"/>
          <w:szCs w:val="20"/>
        </w:rPr>
        <w:t>měsíců</w:t>
      </w:r>
      <w:r w:rsidR="005119F2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7826CE">
        <w:rPr>
          <w:rFonts w:ascii="Arial" w:hAnsi="Arial" w:cs="Arial"/>
          <w:sz w:val="20"/>
          <w:szCs w:val="20"/>
        </w:rPr>
        <w:t>,</w:t>
      </w:r>
      <w:r w:rsidR="005B60CA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která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 xml:space="preserve">běží ode dne předání a převzetí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Pr="007826CE">
        <w:rPr>
          <w:rFonts w:ascii="Arial" w:hAnsi="Arial" w:cs="Arial"/>
          <w:sz w:val="20"/>
          <w:szCs w:val="20"/>
        </w:rPr>
        <w:t xml:space="preserve">potvrzeném na předávacím </w:t>
      </w:r>
      <w:r w:rsidRPr="00A65E2D">
        <w:rPr>
          <w:rFonts w:ascii="Arial" w:hAnsi="Arial" w:cs="Arial"/>
          <w:sz w:val="20"/>
          <w:szCs w:val="20"/>
        </w:rPr>
        <w:t xml:space="preserve">protokolu. Prodávající zárukou přejímá zejména závazek, že </w:t>
      </w:r>
      <w:r w:rsidR="00294ED0">
        <w:rPr>
          <w:rFonts w:ascii="Arial" w:hAnsi="Arial" w:cs="Arial"/>
          <w:sz w:val="20"/>
          <w:szCs w:val="20"/>
        </w:rPr>
        <w:t xml:space="preserve">zboží </w:t>
      </w:r>
      <w:r w:rsidR="00280BF4">
        <w:rPr>
          <w:rFonts w:ascii="Arial" w:hAnsi="Arial" w:cs="Arial"/>
          <w:sz w:val="20"/>
          <w:szCs w:val="20"/>
        </w:rPr>
        <w:t xml:space="preserve">bude funkční, bude mít vlastnosti požadované kupujícím a </w:t>
      </w:r>
      <w:r w:rsidRPr="00A65E2D">
        <w:rPr>
          <w:rFonts w:ascii="Arial" w:hAnsi="Arial" w:cs="Arial"/>
          <w:sz w:val="20"/>
          <w:szCs w:val="20"/>
        </w:rPr>
        <w:t xml:space="preserve">bude mít vlastnosti odpovídající obsahu technických norem, které se na jednotlivé výrobky vztahují. </w:t>
      </w:r>
      <w:r w:rsidR="00294ED0">
        <w:rPr>
          <w:rFonts w:ascii="Arial" w:hAnsi="Arial" w:cs="Arial"/>
          <w:sz w:val="20"/>
          <w:szCs w:val="20"/>
        </w:rPr>
        <w:t>Z</w:t>
      </w:r>
      <w:r w:rsidR="00294ED0" w:rsidRPr="0004208A">
        <w:rPr>
          <w:rFonts w:ascii="Arial" w:hAnsi="Arial" w:cs="Arial"/>
          <w:sz w:val="20"/>
          <w:szCs w:val="20"/>
        </w:rPr>
        <w:t>áruka se nevztahuje na opotřebení věci způsobené jejím obvyklým užíváním</w:t>
      </w:r>
      <w:r w:rsidR="00294ED0">
        <w:rPr>
          <w:rFonts w:ascii="Arial" w:hAnsi="Arial" w:cs="Arial"/>
          <w:sz w:val="20"/>
          <w:szCs w:val="20"/>
        </w:rPr>
        <w:t xml:space="preserve">.  </w:t>
      </w:r>
      <w:r w:rsidRPr="00D26ECB">
        <w:rPr>
          <w:rFonts w:ascii="Arial" w:hAnsi="Arial" w:cs="Arial"/>
          <w:sz w:val="20"/>
          <w:szCs w:val="20"/>
        </w:rPr>
        <w:t xml:space="preserve">Záruční doba neběží po dobu, po kterou kupující nemůže užívat věc pro její vady, za které odpovídá </w:t>
      </w:r>
      <w:r w:rsidRPr="00D26ECB">
        <w:rPr>
          <w:rFonts w:ascii="Arial" w:hAnsi="Arial" w:cs="Arial"/>
          <w:sz w:val="20"/>
          <w:szCs w:val="20"/>
        </w:rPr>
        <w:lastRenderedPageBreak/>
        <w:t xml:space="preserve">prodávající. </w:t>
      </w:r>
      <w:r w:rsidR="00492303">
        <w:rPr>
          <w:rFonts w:ascii="Arial" w:hAnsi="Arial" w:cs="Arial"/>
          <w:sz w:val="20"/>
          <w:szCs w:val="20"/>
        </w:rPr>
        <w:t xml:space="preserve">Prodávající může na jednotlivé zboží poskytnout svým písemným prohlášením i delší záruční dobu. </w:t>
      </w:r>
      <w:r w:rsidRPr="00D26ECB">
        <w:rPr>
          <w:rFonts w:ascii="Arial" w:hAnsi="Arial" w:cs="Arial"/>
          <w:sz w:val="20"/>
          <w:szCs w:val="20"/>
        </w:rPr>
        <w:t xml:space="preserve"> </w:t>
      </w:r>
    </w:p>
    <w:p w:rsidR="000A3C80" w:rsidRPr="00CC6BC3" w:rsidRDefault="000A3C80" w:rsidP="000A3C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C6BC3">
        <w:rPr>
          <w:rFonts w:ascii="Arial" w:hAnsi="Arial" w:cs="Arial"/>
          <w:sz w:val="20"/>
          <w:szCs w:val="20"/>
        </w:rPr>
        <w:t>Právo odstoupit od této Smlouvy má kupující i tehdy, jestliže jej prodávající ujistil, že věc má určité vlastnosti, zejména vlastnosti kupujícím vymíněné, anebo prodávající kupujícího ujistil, že věc nemá žádné vady, a toto ujištění se ukáže nepravdivým.</w:t>
      </w:r>
    </w:p>
    <w:p w:rsidR="000A3C80" w:rsidRPr="007826CE" w:rsidRDefault="000A3C80" w:rsidP="000A3C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Kupující má právo na úhradu nutných nákladu, které mu vznikly v souvislosti s uplatněním práv z</w:t>
      </w:r>
      <w:r>
        <w:rPr>
          <w:rFonts w:ascii="Arial" w:hAnsi="Arial" w:cs="Arial"/>
          <w:sz w:val="20"/>
          <w:szCs w:val="20"/>
        </w:rPr>
        <w:t> </w:t>
      </w:r>
      <w:r w:rsidRPr="007826CE">
        <w:rPr>
          <w:rFonts w:ascii="Arial" w:hAnsi="Arial" w:cs="Arial"/>
          <w:sz w:val="20"/>
          <w:szCs w:val="20"/>
        </w:rPr>
        <w:t>odpovědnosti za vady</w:t>
      </w:r>
      <w:r>
        <w:rPr>
          <w:rFonts w:ascii="Arial" w:hAnsi="Arial" w:cs="Arial"/>
          <w:sz w:val="20"/>
          <w:szCs w:val="20"/>
        </w:rPr>
        <w:t xml:space="preserve"> a záruky</w:t>
      </w:r>
      <w:r w:rsidRPr="007826CE">
        <w:rPr>
          <w:rFonts w:ascii="Arial" w:hAnsi="Arial" w:cs="Arial"/>
          <w:sz w:val="20"/>
          <w:szCs w:val="20"/>
        </w:rPr>
        <w:t>.</w:t>
      </w:r>
    </w:p>
    <w:p w:rsidR="000A3C80" w:rsidRDefault="000A3C80" w:rsidP="000A3C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Vady musí kupující uplatnit u prodávajícího bez zbytečného odkladu poté, co se o nich dozví.</w:t>
      </w:r>
    </w:p>
    <w:p w:rsidR="000A3C80" w:rsidRPr="007826CE" w:rsidRDefault="000A3C80" w:rsidP="000A3C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Dodání zboží, které splňuje minimální požadavky kupujícího stanovené v zadávací dokumentaci, se nepovažuje za dodání jiného zboží.    </w:t>
      </w:r>
    </w:p>
    <w:p w:rsidR="000A3C80" w:rsidRPr="00E27112" w:rsidRDefault="000A3C80" w:rsidP="000A3C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0" w:line="264" w:lineRule="auto"/>
        <w:ind w:left="357" w:hanging="357"/>
        <w:contextualSpacing w:val="0"/>
        <w:jc w:val="both"/>
        <w:rPr>
          <w:rFonts w:ascii="Arial" w:hAnsi="Arial" w:cs="Arial"/>
          <w:sz w:val="18"/>
          <w:szCs w:val="20"/>
        </w:rPr>
      </w:pPr>
      <w:r w:rsidRPr="00E27112">
        <w:rPr>
          <w:rFonts w:ascii="Arial" w:hAnsi="Arial" w:cs="Arial"/>
          <w:sz w:val="20"/>
          <w:szCs w:val="20"/>
        </w:rPr>
        <w:t>Uplatněním práv z odpovědnosti za vady není dotčeno právo na náhradu škody.</w:t>
      </w:r>
    </w:p>
    <w:p w:rsidR="000A3C80" w:rsidRPr="00DD3E93" w:rsidRDefault="000A3C80" w:rsidP="000A3C80">
      <w:pPr>
        <w:keepNext/>
        <w:autoSpaceDE w:val="0"/>
        <w:autoSpaceDN w:val="0"/>
        <w:adjustRightInd w:val="0"/>
        <w:spacing w:line="264" w:lineRule="auto"/>
        <w:jc w:val="center"/>
        <w:rPr>
          <w:rFonts w:cs="Arial"/>
          <w:b/>
          <w:sz w:val="2"/>
          <w:szCs w:val="2"/>
        </w:rPr>
      </w:pPr>
    </w:p>
    <w:p w:rsidR="000A3C80" w:rsidRPr="007826CE" w:rsidRDefault="000A3C80" w:rsidP="000A3C80">
      <w:pPr>
        <w:keepNext/>
        <w:autoSpaceDE w:val="0"/>
        <w:autoSpaceDN w:val="0"/>
        <w:adjustRightInd w:val="0"/>
        <w:spacing w:before="360" w:after="120" w:line="264" w:lineRule="auto"/>
        <w:jc w:val="center"/>
        <w:rPr>
          <w:rFonts w:cs="Arial"/>
          <w:b/>
        </w:rPr>
      </w:pPr>
      <w:r w:rsidRPr="007826CE">
        <w:rPr>
          <w:rFonts w:cs="Arial"/>
          <w:b/>
        </w:rPr>
        <w:t>VIII. Z</w:t>
      </w:r>
      <w:r>
        <w:rPr>
          <w:rFonts w:cs="Arial"/>
          <w:b/>
        </w:rPr>
        <w:t>Á</w:t>
      </w:r>
      <w:r w:rsidRPr="007826CE">
        <w:rPr>
          <w:rFonts w:cs="Arial"/>
          <w:b/>
        </w:rPr>
        <w:t>VĚRE</w:t>
      </w:r>
      <w:r>
        <w:rPr>
          <w:rFonts w:cs="Arial"/>
          <w:b/>
        </w:rPr>
        <w:t>Č</w:t>
      </w:r>
      <w:r w:rsidRPr="007826CE">
        <w:rPr>
          <w:rFonts w:cs="Arial"/>
          <w:b/>
        </w:rPr>
        <w:t>NÁ USTANOVENÍ</w:t>
      </w:r>
    </w:p>
    <w:p w:rsidR="0011496D" w:rsidRDefault="0011496D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Změny a dodatky této smlouvy mohou být provedeny pouze písemnými a číslovanými dodatky, podepsanými oprávněnými zástupci obou stran. </w:t>
      </w:r>
    </w:p>
    <w:p w:rsidR="0011496D" w:rsidRDefault="0011496D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Smlouva nabývá platnosti dnem podpisu obou smluvních stran.</w:t>
      </w:r>
    </w:p>
    <w:p w:rsidR="00280BF4" w:rsidRDefault="00280BF4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Zaplacením smluvní pokuty nezaniká povinnost závazek splnit a není tím dotčeno právo poškozené strany na náhradu škody v plném rozsahu, která nesplněním povinnosti vznikla.  </w:t>
      </w:r>
    </w:p>
    <w:p w:rsidR="0011496D" w:rsidRDefault="0011496D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Na smlouvu se vztahuje režim zákona č. 513/1991 Sb., obchodní zákoník, ve znění pozdějších předpisů.</w:t>
      </w:r>
    </w:p>
    <w:p w:rsidR="0011000C" w:rsidRDefault="0011496D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Kupující a Prodávající mají právo od smlouvy odstoupit z důvodu jejího podstatného porušení. Za podstatné porušení ze strany Prodávajícího se také považuje neplnění dohodnutých časových termínů.</w:t>
      </w:r>
    </w:p>
    <w:p w:rsidR="0011000C" w:rsidRPr="0011000C" w:rsidRDefault="0011000C" w:rsidP="0011000C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11000C">
        <w:rPr>
          <w:sz w:val="20"/>
          <w:szCs w:val="20"/>
        </w:rPr>
        <w:t>V rozsahu</w:t>
      </w:r>
      <w:r w:rsidR="0011496D" w:rsidRPr="0011000C">
        <w:rPr>
          <w:sz w:val="20"/>
          <w:szCs w:val="20"/>
        </w:rPr>
        <w:t xml:space="preserve"> </w:t>
      </w:r>
      <w:r w:rsidRPr="0011000C">
        <w:rPr>
          <w:sz w:val="20"/>
          <w:szCs w:val="20"/>
        </w:rPr>
        <w:t xml:space="preserve">stanoveném zadávací dokumentací k veřejné zakázce dle čl. II </w:t>
      </w:r>
      <w:proofErr w:type="gramStart"/>
      <w:r w:rsidRPr="0011000C">
        <w:rPr>
          <w:sz w:val="20"/>
          <w:szCs w:val="20"/>
        </w:rPr>
        <w:t>této</w:t>
      </w:r>
      <w:proofErr w:type="gramEnd"/>
      <w:r w:rsidRPr="0011000C">
        <w:rPr>
          <w:sz w:val="20"/>
          <w:szCs w:val="20"/>
        </w:rPr>
        <w:t xml:space="preserve"> smlouvy se prodávající zavazuje</w:t>
      </w:r>
    </w:p>
    <w:p w:rsidR="0011000C" w:rsidRDefault="0011000C" w:rsidP="0011000C">
      <w:pPr>
        <w:pStyle w:val="Default"/>
        <w:numPr>
          <w:ilvl w:val="0"/>
          <w:numId w:val="15"/>
        </w:numPr>
        <w:spacing w:before="120" w:line="264" w:lineRule="auto"/>
        <w:jc w:val="both"/>
        <w:rPr>
          <w:sz w:val="20"/>
          <w:szCs w:val="20"/>
        </w:rPr>
      </w:pPr>
      <w:r>
        <w:rPr>
          <w:sz w:val="20"/>
          <w:szCs w:val="20"/>
        </w:rPr>
        <w:t>řádně uchovávat originály účetních záznamů a dalších dokumentů, a to po dobu tam uvedenou,</w:t>
      </w:r>
    </w:p>
    <w:p w:rsidR="0011000C" w:rsidRDefault="0011000C" w:rsidP="0011000C">
      <w:pPr>
        <w:pStyle w:val="Default"/>
        <w:numPr>
          <w:ilvl w:val="0"/>
          <w:numId w:val="15"/>
        </w:numPr>
        <w:spacing w:before="120" w:line="264" w:lineRule="auto"/>
        <w:jc w:val="both"/>
        <w:rPr>
          <w:sz w:val="20"/>
          <w:szCs w:val="20"/>
        </w:rPr>
      </w:pPr>
      <w:r>
        <w:rPr>
          <w:sz w:val="20"/>
          <w:szCs w:val="20"/>
        </w:rPr>
        <w:t>po dobu stanovenou obecně závaznými právními předpisy umožnit oprávněným osobám výkon kontroly a k tomu v plném rozsahu zavázat i své případné subdodavatele a partnery,</w:t>
      </w:r>
    </w:p>
    <w:p w:rsidR="0011000C" w:rsidRDefault="0011000C" w:rsidP="0011000C">
      <w:pPr>
        <w:pStyle w:val="Default"/>
        <w:numPr>
          <w:ilvl w:val="0"/>
          <w:numId w:val="15"/>
        </w:numPr>
        <w:spacing w:before="120" w:line="264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uskutečňovat propagaci a k tomu v plném rozsahu zavázat i své případné subdodavatele a partnery.      </w:t>
      </w:r>
    </w:p>
    <w:p w:rsidR="0011496D" w:rsidRPr="0011000C" w:rsidRDefault="0011000C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11000C">
        <w:rPr>
          <w:sz w:val="20"/>
          <w:szCs w:val="20"/>
        </w:rPr>
        <w:t>S</w:t>
      </w:r>
      <w:r w:rsidR="0011496D" w:rsidRPr="0011000C">
        <w:rPr>
          <w:sz w:val="20"/>
          <w:szCs w:val="20"/>
        </w:rPr>
        <w:t xml:space="preserve">mlouva je vyhotovena ve třech stejnopisech s platností originálu, přičemž </w:t>
      </w:r>
      <w:r w:rsidR="00B828BB" w:rsidRPr="0011000C">
        <w:rPr>
          <w:sz w:val="20"/>
          <w:szCs w:val="20"/>
        </w:rPr>
        <w:t>Kupující</w:t>
      </w:r>
      <w:r w:rsidR="0011496D" w:rsidRPr="0011000C">
        <w:rPr>
          <w:sz w:val="20"/>
          <w:szCs w:val="20"/>
        </w:rPr>
        <w:t xml:space="preserve"> obdrží dvě a </w:t>
      </w:r>
      <w:r w:rsidR="00B828BB" w:rsidRPr="0011000C">
        <w:rPr>
          <w:sz w:val="20"/>
          <w:szCs w:val="20"/>
        </w:rPr>
        <w:t>Prodávající</w:t>
      </w:r>
      <w:r w:rsidR="0011496D" w:rsidRPr="0011000C">
        <w:rPr>
          <w:sz w:val="20"/>
          <w:szCs w:val="20"/>
        </w:rPr>
        <w:t xml:space="preserve"> jedno vyhotovení. </w:t>
      </w:r>
    </w:p>
    <w:p w:rsidR="00063AF3" w:rsidRDefault="0011496D" w:rsidP="00646A07">
      <w:pPr>
        <w:pStyle w:val="Default"/>
        <w:numPr>
          <w:ilvl w:val="0"/>
          <w:numId w:val="4"/>
        </w:numPr>
        <w:spacing w:before="120" w:line="264" w:lineRule="auto"/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Smluvní strany prohlašují, že se řádně seznámily s textem smlouvy, která je výrazem jejich pravé a svobodné vůle, učiněným nikoli v tísni za nápadně nevýhodných podmínek a na důkaz toho připojují své podpisy.</w:t>
      </w:r>
    </w:p>
    <w:p w:rsidR="00063AF3" w:rsidRPr="00063AF3" w:rsidRDefault="00063AF3" w:rsidP="00063AF3">
      <w:pPr>
        <w:pStyle w:val="Default"/>
        <w:numPr>
          <w:ilvl w:val="0"/>
          <w:numId w:val="4"/>
        </w:numPr>
        <w:spacing w:before="120" w:line="276" w:lineRule="auto"/>
        <w:jc w:val="both"/>
        <w:rPr>
          <w:sz w:val="20"/>
          <w:szCs w:val="20"/>
        </w:rPr>
      </w:pPr>
      <w:r w:rsidRPr="00063AF3">
        <w:rPr>
          <w:sz w:val="20"/>
          <w:szCs w:val="20"/>
        </w:rPr>
        <w:t>Smluvní strany souhlasí s tím, aby tato uzavřená smlouva vč. jejích změn a dodatků byla uveřejněna na profilu zadavatele v souladu s § 147a zákona č. 137/2006 Sb., o veřejných zakázkách, v platném znění.</w:t>
      </w:r>
    </w:p>
    <w:p w:rsidR="0011496D" w:rsidRPr="007826CE" w:rsidRDefault="007826CE" w:rsidP="00DD3E93">
      <w:pPr>
        <w:pStyle w:val="Default"/>
        <w:spacing w:before="360" w:after="120" w:line="264" w:lineRule="auto"/>
        <w:jc w:val="center"/>
        <w:rPr>
          <w:b/>
          <w:sz w:val="20"/>
          <w:szCs w:val="20"/>
        </w:rPr>
      </w:pPr>
      <w:r w:rsidRPr="007826CE">
        <w:rPr>
          <w:b/>
          <w:sz w:val="20"/>
          <w:szCs w:val="20"/>
        </w:rPr>
        <w:t>IX. PŘÍLOHY, KTERÉ TVOŘÍ NEDÍLNOU SOUČÁST SMLOUVY</w:t>
      </w:r>
    </w:p>
    <w:p w:rsidR="0011496D" w:rsidRPr="007826CE" w:rsidRDefault="0011496D" w:rsidP="00347063">
      <w:pPr>
        <w:pStyle w:val="Default"/>
        <w:numPr>
          <w:ilvl w:val="0"/>
          <w:numId w:val="3"/>
        </w:numPr>
        <w:spacing w:line="264" w:lineRule="auto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Specifikace předmětu plnění obsažená v nabídce zájemce</w:t>
      </w:r>
    </w:p>
    <w:p w:rsidR="0011496D" w:rsidRPr="007826CE" w:rsidRDefault="0011496D" w:rsidP="004103B3">
      <w:pPr>
        <w:pStyle w:val="Default"/>
        <w:tabs>
          <w:tab w:val="left" w:pos="5245"/>
        </w:tabs>
        <w:spacing w:before="1134" w:line="264" w:lineRule="auto"/>
        <w:rPr>
          <w:sz w:val="20"/>
          <w:szCs w:val="20"/>
        </w:rPr>
      </w:pPr>
      <w:r w:rsidRPr="007826CE">
        <w:rPr>
          <w:sz w:val="20"/>
          <w:szCs w:val="20"/>
        </w:rPr>
        <w:lastRenderedPageBreak/>
        <w:t xml:space="preserve">V </w:t>
      </w:r>
      <w:r w:rsidR="00C46E81">
        <w:rPr>
          <w:sz w:val="20"/>
          <w:szCs w:val="20"/>
        </w:rPr>
        <w:t>Plzni</w:t>
      </w:r>
      <w:r w:rsidRPr="007826CE">
        <w:rPr>
          <w:sz w:val="20"/>
          <w:szCs w:val="20"/>
        </w:rPr>
        <w:t xml:space="preserve"> dne</w:t>
      </w:r>
      <w:r w:rsidR="004103B3">
        <w:rPr>
          <w:sz w:val="20"/>
          <w:szCs w:val="20"/>
        </w:rPr>
        <w:t xml:space="preserve">                         </w:t>
      </w:r>
      <w:r w:rsidR="004103B3">
        <w:rPr>
          <w:sz w:val="20"/>
          <w:szCs w:val="20"/>
        </w:rPr>
        <w:tab/>
      </w:r>
      <w:r w:rsidRPr="007826CE">
        <w:rPr>
          <w:sz w:val="20"/>
          <w:szCs w:val="20"/>
        </w:rPr>
        <w:t xml:space="preserve">V </w:t>
      </w:r>
      <w:proofErr w:type="gramStart"/>
      <w:r w:rsidRPr="004103B3">
        <w:rPr>
          <w:b/>
          <w:bCs/>
          <w:color w:val="FF0000"/>
          <w:sz w:val="18"/>
          <w:szCs w:val="20"/>
        </w:rPr>
        <w:t>doplní</w:t>
      </w:r>
      <w:proofErr w:type="gramEnd"/>
      <w:r w:rsidRPr="004103B3">
        <w:rPr>
          <w:b/>
          <w:bCs/>
          <w:color w:val="FF0000"/>
          <w:sz w:val="18"/>
          <w:szCs w:val="20"/>
        </w:rPr>
        <w:t xml:space="preserve"> </w:t>
      </w:r>
      <w:r w:rsidR="00A9214C">
        <w:rPr>
          <w:b/>
          <w:bCs/>
          <w:color w:val="FF0000"/>
          <w:sz w:val="18"/>
          <w:szCs w:val="20"/>
        </w:rPr>
        <w:t xml:space="preserve">uchazeč </w:t>
      </w:r>
      <w:r w:rsidRPr="007826CE">
        <w:rPr>
          <w:sz w:val="20"/>
          <w:szCs w:val="20"/>
        </w:rPr>
        <w:t>dne</w:t>
      </w:r>
      <w:r w:rsidR="00B6314D">
        <w:rPr>
          <w:sz w:val="20"/>
          <w:szCs w:val="20"/>
        </w:rPr>
        <w:t xml:space="preserve"> </w:t>
      </w:r>
      <w:proofErr w:type="gramStart"/>
      <w:r w:rsidRPr="004103B3">
        <w:rPr>
          <w:b/>
          <w:bCs/>
          <w:color w:val="FF0000"/>
          <w:sz w:val="18"/>
          <w:szCs w:val="20"/>
        </w:rPr>
        <w:t>doplní</w:t>
      </w:r>
      <w:proofErr w:type="gramEnd"/>
      <w:r w:rsidRPr="004103B3">
        <w:rPr>
          <w:b/>
          <w:bCs/>
          <w:color w:val="FF0000"/>
          <w:sz w:val="18"/>
          <w:szCs w:val="20"/>
        </w:rPr>
        <w:t xml:space="preserve"> </w:t>
      </w:r>
      <w:r w:rsidR="00A9214C">
        <w:rPr>
          <w:b/>
          <w:bCs/>
          <w:color w:val="FF0000"/>
          <w:sz w:val="18"/>
          <w:szCs w:val="20"/>
        </w:rPr>
        <w:t>uchazeč</w:t>
      </w:r>
      <w:r w:rsidR="004103B3">
        <w:rPr>
          <w:sz w:val="18"/>
          <w:szCs w:val="20"/>
        </w:rPr>
        <w:t xml:space="preserve"> </w:t>
      </w:r>
      <w:r w:rsidRPr="007826CE">
        <w:rPr>
          <w:sz w:val="20"/>
          <w:szCs w:val="20"/>
        </w:rPr>
        <w:t xml:space="preserve"> </w:t>
      </w:r>
    </w:p>
    <w:p w:rsidR="0011496D" w:rsidRPr="007826CE" w:rsidRDefault="00543498" w:rsidP="00543498">
      <w:pPr>
        <w:tabs>
          <w:tab w:val="center" w:pos="1701"/>
          <w:tab w:val="center" w:pos="7088"/>
        </w:tabs>
        <w:spacing w:before="1701" w:line="264" w:lineRule="auto"/>
        <w:rPr>
          <w:rFonts w:cs="Arial"/>
        </w:rPr>
      </w:pPr>
      <w:r>
        <w:rPr>
          <w:rFonts w:cs="Arial"/>
        </w:rPr>
        <w:tab/>
      </w:r>
      <w:r w:rsidR="0011496D" w:rsidRPr="007826CE">
        <w:rPr>
          <w:rFonts w:cs="Arial"/>
        </w:rPr>
        <w:t>...........................................................</w:t>
      </w:r>
      <w:r w:rsidR="0011496D" w:rsidRPr="007826CE">
        <w:rPr>
          <w:rFonts w:cs="Arial"/>
        </w:rPr>
        <w:tab/>
      </w:r>
      <w:r w:rsidR="004103B3" w:rsidRPr="007826CE">
        <w:rPr>
          <w:rFonts w:cs="Arial"/>
        </w:rPr>
        <w:t>...........................................................</w:t>
      </w:r>
    </w:p>
    <w:p w:rsidR="00D806C6" w:rsidRDefault="00543498" w:rsidP="00543498">
      <w:pPr>
        <w:tabs>
          <w:tab w:val="center" w:pos="1701"/>
          <w:tab w:val="center" w:pos="7088"/>
        </w:tabs>
        <w:spacing w:line="264" w:lineRule="auto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ab/>
      </w:r>
      <w:r w:rsidR="007E4CB3">
        <w:rPr>
          <w:rFonts w:cs="Arial"/>
        </w:rPr>
        <w:t xml:space="preserve"> </w:t>
      </w:r>
      <w:r w:rsidR="00DE1A07">
        <w:rPr>
          <w:rFonts w:cs="Arial"/>
        </w:rPr>
        <w:t xml:space="preserve">Mgr. </w:t>
      </w:r>
      <w:r w:rsidR="007E4CB3">
        <w:rPr>
          <w:rFonts w:cs="Arial"/>
        </w:rPr>
        <w:t>Petr Mazanec</w:t>
      </w:r>
      <w:r w:rsidR="004103B3">
        <w:rPr>
          <w:rFonts w:cs="Arial"/>
        </w:rPr>
        <w:tab/>
      </w:r>
    </w:p>
    <w:p w:rsidR="00D806C6" w:rsidRDefault="00543498" w:rsidP="00543498">
      <w:pPr>
        <w:tabs>
          <w:tab w:val="center" w:pos="1701"/>
          <w:tab w:val="center" w:pos="7088"/>
        </w:tabs>
        <w:spacing w:line="264" w:lineRule="auto"/>
        <w:rPr>
          <w:rFonts w:cs="Arial"/>
        </w:rPr>
      </w:pPr>
      <w:r>
        <w:rPr>
          <w:rFonts w:cs="Arial"/>
        </w:rPr>
        <w:tab/>
      </w:r>
      <w:r w:rsidR="00D806C6">
        <w:rPr>
          <w:rFonts w:cs="Arial"/>
        </w:rPr>
        <w:t xml:space="preserve">ředitel </w:t>
      </w:r>
      <w:r w:rsidR="00C46E81">
        <w:rPr>
          <w:rFonts w:cs="Arial"/>
        </w:rPr>
        <w:t>školy</w:t>
      </w:r>
      <w:r w:rsidR="004103B3">
        <w:rPr>
          <w:rFonts w:cs="Arial"/>
        </w:rPr>
        <w:tab/>
      </w:r>
    </w:p>
    <w:p w:rsidR="0011496D" w:rsidRPr="007826CE" w:rsidRDefault="00543498" w:rsidP="00543498">
      <w:pPr>
        <w:tabs>
          <w:tab w:val="center" w:pos="1701"/>
          <w:tab w:val="center" w:pos="7088"/>
        </w:tabs>
        <w:spacing w:line="264" w:lineRule="auto"/>
        <w:rPr>
          <w:rFonts w:cs="Arial"/>
        </w:rPr>
      </w:pPr>
      <w:r>
        <w:rPr>
          <w:rFonts w:cs="Arial"/>
        </w:rPr>
        <w:tab/>
      </w:r>
      <w:r w:rsidR="00D806C6">
        <w:rPr>
          <w:rFonts w:cs="Arial"/>
        </w:rPr>
        <w:t>k</w:t>
      </w:r>
      <w:r w:rsidR="0011496D" w:rsidRPr="007826CE">
        <w:rPr>
          <w:rFonts w:cs="Arial"/>
        </w:rPr>
        <w:t>upující</w:t>
      </w:r>
      <w:r w:rsidR="0011496D" w:rsidRPr="007826CE">
        <w:rPr>
          <w:rFonts w:cs="Arial"/>
        </w:rPr>
        <w:tab/>
      </w:r>
      <w:r w:rsidR="00D806C6">
        <w:rPr>
          <w:rFonts w:cs="Arial"/>
        </w:rPr>
        <w:t>p</w:t>
      </w:r>
      <w:r w:rsidR="0011496D" w:rsidRPr="007826CE">
        <w:rPr>
          <w:rFonts w:cs="Arial"/>
        </w:rPr>
        <w:t>rodávající</w:t>
      </w:r>
    </w:p>
    <w:sectPr w:rsidR="0011496D" w:rsidRPr="007826CE" w:rsidSect="002D54CA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1D1" w:rsidRDefault="002B01D1" w:rsidP="004D61C0">
      <w:r>
        <w:separator/>
      </w:r>
    </w:p>
  </w:endnote>
  <w:endnote w:type="continuationSeparator" w:id="0">
    <w:p w:rsidR="002B01D1" w:rsidRDefault="002B01D1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6016"/>
      <w:docPartObj>
        <w:docPartGallery w:val="Page Numbers (Bottom of Page)"/>
        <w:docPartUnique/>
      </w:docPartObj>
    </w:sdtPr>
    <w:sdtContent>
      <w:p w:rsidR="002B01D1" w:rsidRDefault="00D8405B">
        <w:pPr>
          <w:pStyle w:val="Zpat"/>
          <w:jc w:val="center"/>
        </w:pPr>
        <w:fldSimple w:instr=" PAGE   \* MERGEFORMAT ">
          <w:r w:rsidR="00063AF3">
            <w:rPr>
              <w:noProof/>
            </w:rPr>
            <w:t>8</w:t>
          </w:r>
        </w:fldSimple>
      </w:p>
    </w:sdtContent>
  </w:sdt>
  <w:p w:rsidR="002B01D1" w:rsidRDefault="002B01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1D1" w:rsidRDefault="002B01D1" w:rsidP="004D61C0">
      <w:r>
        <w:separator/>
      </w:r>
    </w:p>
  </w:footnote>
  <w:footnote w:type="continuationSeparator" w:id="0">
    <w:p w:rsidR="002B01D1" w:rsidRDefault="002B01D1" w:rsidP="004D61C0">
      <w:r>
        <w:continuationSeparator/>
      </w:r>
    </w:p>
  </w:footnote>
  <w:footnote w:id="1">
    <w:p w:rsidR="002B01D1" w:rsidRDefault="002B01D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1420F">
        <w:rPr>
          <w:sz w:val="18"/>
          <w:szCs w:val="18"/>
        </w:rPr>
        <w:t xml:space="preserve">Podle zadávací </w:t>
      </w:r>
      <w:r w:rsidRPr="00986A57">
        <w:rPr>
          <w:sz w:val="18"/>
          <w:szCs w:val="18"/>
        </w:rPr>
        <w:t xml:space="preserve">dokumentace veřejné zakázky dle čl. II </w:t>
      </w:r>
      <w:proofErr w:type="gramStart"/>
      <w:r w:rsidRPr="00986A57">
        <w:rPr>
          <w:sz w:val="18"/>
          <w:szCs w:val="18"/>
        </w:rPr>
        <w:t>této</w:t>
      </w:r>
      <w:proofErr w:type="gramEnd"/>
      <w:r w:rsidRPr="00986A57">
        <w:rPr>
          <w:sz w:val="18"/>
          <w:szCs w:val="18"/>
        </w:rPr>
        <w:t xml:space="preserve"> smlouvy</w:t>
      </w:r>
      <w:r>
        <w:rPr>
          <w:sz w:val="18"/>
          <w:szCs w:val="18"/>
        </w:rPr>
        <w:t xml:space="preserve"> se požaduje minimálně 24 měsíců.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D1" w:rsidRDefault="002B01D1">
    <w:pPr>
      <w:pStyle w:val="Zhlav"/>
    </w:pPr>
    <w:r w:rsidRPr="00C1036E">
      <w:rPr>
        <w:noProof/>
        <w:lang w:eastAsia="cs-CZ"/>
      </w:rPr>
      <w:drawing>
        <wp:inline distT="0" distB="0" distL="0" distR="0">
          <wp:extent cx="5759450" cy="1027270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7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D1" w:rsidRDefault="002B01D1">
    <w:pPr>
      <w:pStyle w:val="Zhlav"/>
    </w:pPr>
    <w:r w:rsidRPr="00C1036E">
      <w:rPr>
        <w:noProof/>
        <w:lang w:eastAsia="cs-CZ"/>
      </w:rPr>
      <w:drawing>
        <wp:inline distT="0" distB="0" distL="0" distR="0">
          <wp:extent cx="5759450" cy="1027270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7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91743"/>
    <w:multiLevelType w:val="hybridMultilevel"/>
    <w:tmpl w:val="AA40DEC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25676"/>
    <w:multiLevelType w:val="hybridMultilevel"/>
    <w:tmpl w:val="61906A7A"/>
    <w:lvl w:ilvl="0" w:tplc="0405000F">
      <w:start w:val="1"/>
      <w:numFmt w:val="decimal"/>
      <w:lvlText w:val="%1."/>
      <w:lvlJc w:val="left"/>
      <w:pPr>
        <w:ind w:left="752" w:hanging="360"/>
      </w:pPr>
    </w:lvl>
    <w:lvl w:ilvl="1" w:tplc="04050019" w:tentative="1">
      <w:start w:val="1"/>
      <w:numFmt w:val="lowerLetter"/>
      <w:lvlText w:val="%2."/>
      <w:lvlJc w:val="left"/>
      <w:pPr>
        <w:ind w:left="1472" w:hanging="360"/>
      </w:pPr>
    </w:lvl>
    <w:lvl w:ilvl="2" w:tplc="0405001B" w:tentative="1">
      <w:start w:val="1"/>
      <w:numFmt w:val="lowerRoman"/>
      <w:lvlText w:val="%3."/>
      <w:lvlJc w:val="right"/>
      <w:pPr>
        <w:ind w:left="2192" w:hanging="180"/>
      </w:pPr>
    </w:lvl>
    <w:lvl w:ilvl="3" w:tplc="0405000F" w:tentative="1">
      <w:start w:val="1"/>
      <w:numFmt w:val="decimal"/>
      <w:lvlText w:val="%4."/>
      <w:lvlJc w:val="left"/>
      <w:pPr>
        <w:ind w:left="2912" w:hanging="360"/>
      </w:pPr>
    </w:lvl>
    <w:lvl w:ilvl="4" w:tplc="04050019" w:tentative="1">
      <w:start w:val="1"/>
      <w:numFmt w:val="lowerLetter"/>
      <w:lvlText w:val="%5."/>
      <w:lvlJc w:val="left"/>
      <w:pPr>
        <w:ind w:left="3632" w:hanging="360"/>
      </w:pPr>
    </w:lvl>
    <w:lvl w:ilvl="5" w:tplc="0405001B" w:tentative="1">
      <w:start w:val="1"/>
      <w:numFmt w:val="lowerRoman"/>
      <w:lvlText w:val="%6."/>
      <w:lvlJc w:val="right"/>
      <w:pPr>
        <w:ind w:left="4352" w:hanging="180"/>
      </w:pPr>
    </w:lvl>
    <w:lvl w:ilvl="6" w:tplc="0405000F" w:tentative="1">
      <w:start w:val="1"/>
      <w:numFmt w:val="decimal"/>
      <w:lvlText w:val="%7."/>
      <w:lvlJc w:val="left"/>
      <w:pPr>
        <w:ind w:left="5072" w:hanging="360"/>
      </w:pPr>
    </w:lvl>
    <w:lvl w:ilvl="7" w:tplc="04050019" w:tentative="1">
      <w:start w:val="1"/>
      <w:numFmt w:val="lowerLetter"/>
      <w:lvlText w:val="%8."/>
      <w:lvlJc w:val="left"/>
      <w:pPr>
        <w:ind w:left="5792" w:hanging="360"/>
      </w:pPr>
    </w:lvl>
    <w:lvl w:ilvl="8" w:tplc="040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2FF46140"/>
    <w:multiLevelType w:val="hybridMultilevel"/>
    <w:tmpl w:val="7D547ADC"/>
    <w:lvl w:ilvl="0" w:tplc="AEFEB9F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>
    <w:nsid w:val="51CE1C1D"/>
    <w:multiLevelType w:val="hybridMultilevel"/>
    <w:tmpl w:val="6D722580"/>
    <w:lvl w:ilvl="0" w:tplc="F6E2C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134BB"/>
    <w:multiLevelType w:val="hybridMultilevel"/>
    <w:tmpl w:val="1EA4DA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1D3E6C"/>
    <w:multiLevelType w:val="hybridMultilevel"/>
    <w:tmpl w:val="8E2A7F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30A93"/>
    <w:multiLevelType w:val="hybridMultilevel"/>
    <w:tmpl w:val="208CE8A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DC4B60"/>
    <w:multiLevelType w:val="hybridMultilevel"/>
    <w:tmpl w:val="CF34764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B0010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BB2E5E"/>
    <w:multiLevelType w:val="hybridMultilevel"/>
    <w:tmpl w:val="FEE8C00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471FB"/>
    <w:multiLevelType w:val="hybridMultilevel"/>
    <w:tmpl w:val="03868C1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B6F17"/>
    <w:multiLevelType w:val="hybridMultilevel"/>
    <w:tmpl w:val="F34C3C1A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1"/>
  </w:num>
  <w:num w:numId="5">
    <w:abstractNumId w:val="2"/>
  </w:num>
  <w:num w:numId="6">
    <w:abstractNumId w:val="1"/>
  </w:num>
  <w:num w:numId="7">
    <w:abstractNumId w:val="10"/>
  </w:num>
  <w:num w:numId="8">
    <w:abstractNumId w:val="12"/>
  </w:num>
  <w:num w:numId="9">
    <w:abstractNumId w:val="1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459E4"/>
    <w:rsid w:val="00063AF3"/>
    <w:rsid w:val="00065720"/>
    <w:rsid w:val="00090C57"/>
    <w:rsid w:val="000932ED"/>
    <w:rsid w:val="000A2594"/>
    <w:rsid w:val="000A3C80"/>
    <w:rsid w:val="000B074E"/>
    <w:rsid w:val="000C3859"/>
    <w:rsid w:val="0011000C"/>
    <w:rsid w:val="0011496D"/>
    <w:rsid w:val="0011608D"/>
    <w:rsid w:val="0012406D"/>
    <w:rsid w:val="00130279"/>
    <w:rsid w:val="001461E3"/>
    <w:rsid w:val="00156780"/>
    <w:rsid w:val="0016540C"/>
    <w:rsid w:val="00195CB6"/>
    <w:rsid w:val="001A1533"/>
    <w:rsid w:val="001C69ED"/>
    <w:rsid w:val="001C6BC0"/>
    <w:rsid w:val="001D6E8F"/>
    <w:rsid w:val="00220583"/>
    <w:rsid w:val="00223056"/>
    <w:rsid w:val="00223E6B"/>
    <w:rsid w:val="0022672C"/>
    <w:rsid w:val="00231DA1"/>
    <w:rsid w:val="00264213"/>
    <w:rsid w:val="00274852"/>
    <w:rsid w:val="00280BF4"/>
    <w:rsid w:val="00294B8B"/>
    <w:rsid w:val="00294ED0"/>
    <w:rsid w:val="002B01D1"/>
    <w:rsid w:val="002B12C1"/>
    <w:rsid w:val="002B4B8F"/>
    <w:rsid w:val="002D54CA"/>
    <w:rsid w:val="002E0F86"/>
    <w:rsid w:val="003052FE"/>
    <w:rsid w:val="00332A3C"/>
    <w:rsid w:val="00346D1C"/>
    <w:rsid w:val="00347063"/>
    <w:rsid w:val="00356E81"/>
    <w:rsid w:val="00361F67"/>
    <w:rsid w:val="0038109D"/>
    <w:rsid w:val="003918E9"/>
    <w:rsid w:val="0039241C"/>
    <w:rsid w:val="003A4A19"/>
    <w:rsid w:val="003B2DFA"/>
    <w:rsid w:val="004103B3"/>
    <w:rsid w:val="00411A61"/>
    <w:rsid w:val="00413400"/>
    <w:rsid w:val="00415537"/>
    <w:rsid w:val="00420AC0"/>
    <w:rsid w:val="00427FE7"/>
    <w:rsid w:val="00436C39"/>
    <w:rsid w:val="00441619"/>
    <w:rsid w:val="0048450E"/>
    <w:rsid w:val="00492303"/>
    <w:rsid w:val="004D61C0"/>
    <w:rsid w:val="004E005A"/>
    <w:rsid w:val="0051186F"/>
    <w:rsid w:val="005119F2"/>
    <w:rsid w:val="005167B7"/>
    <w:rsid w:val="00520E65"/>
    <w:rsid w:val="00522128"/>
    <w:rsid w:val="005245BA"/>
    <w:rsid w:val="005379F4"/>
    <w:rsid w:val="00537A7C"/>
    <w:rsid w:val="00543498"/>
    <w:rsid w:val="0055137D"/>
    <w:rsid w:val="00587BB6"/>
    <w:rsid w:val="005B39A6"/>
    <w:rsid w:val="005B60CA"/>
    <w:rsid w:val="005D1B51"/>
    <w:rsid w:val="005E086B"/>
    <w:rsid w:val="005F0772"/>
    <w:rsid w:val="005F2CE9"/>
    <w:rsid w:val="005F3E84"/>
    <w:rsid w:val="005F7444"/>
    <w:rsid w:val="00646A07"/>
    <w:rsid w:val="0066378B"/>
    <w:rsid w:val="006B0057"/>
    <w:rsid w:val="006B7613"/>
    <w:rsid w:val="006C1CBC"/>
    <w:rsid w:val="006C682D"/>
    <w:rsid w:val="006F1362"/>
    <w:rsid w:val="006F59A6"/>
    <w:rsid w:val="006F6AEE"/>
    <w:rsid w:val="00700B48"/>
    <w:rsid w:val="00727D1E"/>
    <w:rsid w:val="00736086"/>
    <w:rsid w:val="00765C49"/>
    <w:rsid w:val="00773CB2"/>
    <w:rsid w:val="007826CE"/>
    <w:rsid w:val="00795465"/>
    <w:rsid w:val="007C429C"/>
    <w:rsid w:val="007D34C9"/>
    <w:rsid w:val="007E4CB3"/>
    <w:rsid w:val="007F44A0"/>
    <w:rsid w:val="007F7A1E"/>
    <w:rsid w:val="00803E3A"/>
    <w:rsid w:val="0080529E"/>
    <w:rsid w:val="008626D0"/>
    <w:rsid w:val="0088031B"/>
    <w:rsid w:val="008B0DD0"/>
    <w:rsid w:val="008E423A"/>
    <w:rsid w:val="008F37F7"/>
    <w:rsid w:val="009029E5"/>
    <w:rsid w:val="00911B08"/>
    <w:rsid w:val="00932C66"/>
    <w:rsid w:val="0093588C"/>
    <w:rsid w:val="0093644E"/>
    <w:rsid w:val="00944679"/>
    <w:rsid w:val="00950925"/>
    <w:rsid w:val="00967B35"/>
    <w:rsid w:val="00973E05"/>
    <w:rsid w:val="00984F5F"/>
    <w:rsid w:val="00990B37"/>
    <w:rsid w:val="009938FC"/>
    <w:rsid w:val="009B01EA"/>
    <w:rsid w:val="009C5E7E"/>
    <w:rsid w:val="009E2137"/>
    <w:rsid w:val="009E37CD"/>
    <w:rsid w:val="009F0777"/>
    <w:rsid w:val="00A339BD"/>
    <w:rsid w:val="00A41BE7"/>
    <w:rsid w:val="00A43871"/>
    <w:rsid w:val="00A45234"/>
    <w:rsid w:val="00A91BC2"/>
    <w:rsid w:val="00A9214C"/>
    <w:rsid w:val="00AA0C32"/>
    <w:rsid w:val="00AB0C32"/>
    <w:rsid w:val="00AE12F8"/>
    <w:rsid w:val="00AF227A"/>
    <w:rsid w:val="00B1080F"/>
    <w:rsid w:val="00B22275"/>
    <w:rsid w:val="00B24326"/>
    <w:rsid w:val="00B346C2"/>
    <w:rsid w:val="00B6314D"/>
    <w:rsid w:val="00B73AF0"/>
    <w:rsid w:val="00B75DC7"/>
    <w:rsid w:val="00B828BB"/>
    <w:rsid w:val="00B846A6"/>
    <w:rsid w:val="00B946D9"/>
    <w:rsid w:val="00BA5BB1"/>
    <w:rsid w:val="00BB3771"/>
    <w:rsid w:val="00BF1684"/>
    <w:rsid w:val="00C1036E"/>
    <w:rsid w:val="00C37E3F"/>
    <w:rsid w:val="00C42824"/>
    <w:rsid w:val="00C46E81"/>
    <w:rsid w:val="00C61EEA"/>
    <w:rsid w:val="00C75532"/>
    <w:rsid w:val="00C7768C"/>
    <w:rsid w:val="00C8591A"/>
    <w:rsid w:val="00CA07C7"/>
    <w:rsid w:val="00CE5588"/>
    <w:rsid w:val="00D17927"/>
    <w:rsid w:val="00D26ECB"/>
    <w:rsid w:val="00D32174"/>
    <w:rsid w:val="00D327AD"/>
    <w:rsid w:val="00D50F73"/>
    <w:rsid w:val="00D60FD1"/>
    <w:rsid w:val="00D614CC"/>
    <w:rsid w:val="00D6653D"/>
    <w:rsid w:val="00D806C6"/>
    <w:rsid w:val="00D8405B"/>
    <w:rsid w:val="00DB241A"/>
    <w:rsid w:val="00DB6A65"/>
    <w:rsid w:val="00DD3E93"/>
    <w:rsid w:val="00DE0A3F"/>
    <w:rsid w:val="00DE1A07"/>
    <w:rsid w:val="00DE671F"/>
    <w:rsid w:val="00DF33CF"/>
    <w:rsid w:val="00DF5928"/>
    <w:rsid w:val="00E02C8F"/>
    <w:rsid w:val="00E1339B"/>
    <w:rsid w:val="00E340F5"/>
    <w:rsid w:val="00E350C8"/>
    <w:rsid w:val="00E63222"/>
    <w:rsid w:val="00E672CD"/>
    <w:rsid w:val="00E97D5B"/>
    <w:rsid w:val="00EF62EB"/>
    <w:rsid w:val="00F0171F"/>
    <w:rsid w:val="00F06DFF"/>
    <w:rsid w:val="00F1222D"/>
    <w:rsid w:val="00F153F3"/>
    <w:rsid w:val="00F363E7"/>
    <w:rsid w:val="00F472FC"/>
    <w:rsid w:val="00F6297D"/>
    <w:rsid w:val="00F700DF"/>
    <w:rsid w:val="00F70E94"/>
    <w:rsid w:val="00F73E7B"/>
    <w:rsid w:val="00F76168"/>
    <w:rsid w:val="00F978CC"/>
    <w:rsid w:val="00FA02EA"/>
    <w:rsid w:val="00FB1B69"/>
    <w:rsid w:val="00FB775F"/>
    <w:rsid w:val="00FC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"/>
    <w:qFormat/>
    <w:rsid w:val="005F7444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"/>
    <w:semiHidden/>
    <w:unhideWhenUsed/>
    <w:qFormat/>
    <w:rsid w:val="005F7444"/>
    <w:pPr>
      <w:numPr>
        <w:ilvl w:val="1"/>
        <w:numId w:val="11"/>
      </w:numPr>
      <w:suppressAutoHyphens w:val="0"/>
      <w:spacing w:before="240" w:after="60"/>
      <w:outlineLvl w:val="1"/>
    </w:pPr>
    <w:rPr>
      <w:rFonts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"/>
    <w:semiHidden/>
    <w:unhideWhenUsed/>
    <w:qFormat/>
    <w:rsid w:val="005F7444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"/>
    <w:semiHidden/>
    <w:unhideWhenUsed/>
    <w:qFormat/>
    <w:rsid w:val="005F7444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"/>
    <w:semiHidden/>
    <w:unhideWhenUsed/>
    <w:qFormat/>
    <w:rsid w:val="005F7444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F7444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F7444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F7444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"/>
    <w:semiHidden/>
    <w:unhideWhenUsed/>
    <w:qFormat/>
    <w:rsid w:val="005F7444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F3E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3E8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3E84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3E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3E84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5F7444"/>
    <w:rPr>
      <w:rFonts w:ascii="Arial" w:eastAsia="Times New Roman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5F7444"/>
    <w:rPr>
      <w:rFonts w:ascii="Arial" w:eastAsia="Times New Roman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5F7444"/>
    <w:rPr>
      <w:rFonts w:ascii="Arial" w:eastAsia="Times New Roman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5F7444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5F7444"/>
    <w:rPr>
      <w:rFonts w:ascii="Times New Roman" w:eastAsia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744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7444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7444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5F7444"/>
    <w:rPr>
      <w:rFonts w:ascii="Arial" w:hAnsi="Arial" w:cs="Arial"/>
      <w:lang w:eastAsia="cs-CZ"/>
    </w:rPr>
  </w:style>
  <w:style w:type="paragraph" w:customStyle="1" w:styleId="Styl">
    <w:name w:val="Styl"/>
    <w:rsid w:val="00C10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19F2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19F2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119F2"/>
    <w:rPr>
      <w:vertAlign w:val="superscript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63AF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63AF3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A1D20-9CDB-4EA7-917C-7B94EA5B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8</Pages>
  <Words>1863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Daniel Baloun</cp:lastModifiedBy>
  <cp:revision>4</cp:revision>
  <cp:lastPrinted>2013-11-11T11:25:00Z</cp:lastPrinted>
  <dcterms:created xsi:type="dcterms:W3CDTF">2013-10-22T08:40:00Z</dcterms:created>
  <dcterms:modified xsi:type="dcterms:W3CDTF">2013-11-19T13:22:00Z</dcterms:modified>
</cp:coreProperties>
</file>